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B13" w:rsidRPr="00733B13" w:rsidRDefault="00695447" w:rsidP="00733B13">
      <w:pPr>
        <w:tabs>
          <w:tab w:val="left" w:pos="709"/>
        </w:tabs>
        <w:suppressAutoHyphens/>
        <w:autoSpaceDE w:val="0"/>
        <w:autoSpaceDN w:val="0"/>
        <w:adjustRightInd w:val="0"/>
        <w:spacing w:line="360" w:lineRule="auto"/>
        <w:jc w:val="center"/>
        <w:rPr>
          <w:b/>
          <w:sz w:val="32"/>
          <w:szCs w:val="32"/>
        </w:rPr>
      </w:pPr>
      <w:r>
        <w:rPr>
          <w:b/>
          <w:sz w:val="32"/>
          <w:szCs w:val="32"/>
        </w:rPr>
        <w:t xml:space="preserve">Анализ результатов </w:t>
      </w:r>
      <w:r w:rsidR="00733B13" w:rsidRPr="00733B13">
        <w:rPr>
          <w:b/>
          <w:sz w:val="32"/>
          <w:szCs w:val="32"/>
        </w:rPr>
        <w:t>ЕГЭ</w:t>
      </w:r>
      <w:r>
        <w:rPr>
          <w:b/>
          <w:sz w:val="32"/>
          <w:szCs w:val="32"/>
        </w:rPr>
        <w:t xml:space="preserve"> - 2019</w:t>
      </w:r>
    </w:p>
    <w:p w:rsidR="00733B13" w:rsidRPr="00733B13" w:rsidRDefault="00733B13" w:rsidP="00733B13">
      <w:pPr>
        <w:tabs>
          <w:tab w:val="left" w:pos="709"/>
        </w:tabs>
        <w:suppressAutoHyphens/>
        <w:autoSpaceDE w:val="0"/>
        <w:autoSpaceDN w:val="0"/>
        <w:adjustRightInd w:val="0"/>
        <w:ind w:firstLine="0"/>
        <w:rPr>
          <w:rFonts w:eastAsia="Calibri"/>
          <w:sz w:val="32"/>
          <w:szCs w:val="32"/>
        </w:rPr>
      </w:pPr>
      <w:r w:rsidRPr="00733B13">
        <w:rPr>
          <w:sz w:val="32"/>
          <w:szCs w:val="32"/>
        </w:rPr>
        <w:t xml:space="preserve">       В 2019 году к прохождению государственной итоговой аттестации в форме единого государственного экзамена были допущены все 22 учащихся. </w:t>
      </w:r>
      <w:r w:rsidRPr="00733B13">
        <w:rPr>
          <w:rFonts w:eastAsia="Calibri"/>
          <w:sz w:val="32"/>
          <w:szCs w:val="32"/>
        </w:rPr>
        <w:t>Фактов нарушения выпускниками Вадинского района порядка проведения ЕГЭ не зафиксировано.</w:t>
      </w:r>
    </w:p>
    <w:p w:rsidR="00733B13" w:rsidRPr="00733B13" w:rsidRDefault="00733B13" w:rsidP="00733B13">
      <w:pPr>
        <w:tabs>
          <w:tab w:val="left" w:pos="709"/>
        </w:tabs>
        <w:suppressAutoHyphens/>
        <w:autoSpaceDE w:val="0"/>
        <w:autoSpaceDN w:val="0"/>
        <w:adjustRightInd w:val="0"/>
        <w:ind w:firstLine="0"/>
        <w:rPr>
          <w:sz w:val="32"/>
          <w:szCs w:val="32"/>
        </w:rPr>
      </w:pPr>
      <w:r w:rsidRPr="00733B13">
        <w:rPr>
          <w:sz w:val="32"/>
          <w:szCs w:val="32"/>
        </w:rPr>
        <w:t xml:space="preserve">       Единый государственный экзамен 2019 года учащиеся сдавали по 8 предметам школьной программы – 2 обязательным и 6 по выбору. Все выпускники (100 %) 2019 года  получили аттестат о среднем общем образовании.</w:t>
      </w:r>
    </w:p>
    <w:p w:rsidR="00733B13" w:rsidRPr="00733B13" w:rsidRDefault="00733B13" w:rsidP="00733B13">
      <w:pPr>
        <w:autoSpaceDE w:val="0"/>
        <w:autoSpaceDN w:val="0"/>
        <w:adjustRightInd w:val="0"/>
        <w:ind w:firstLine="0"/>
        <w:contextualSpacing/>
        <w:rPr>
          <w:sz w:val="32"/>
          <w:szCs w:val="32"/>
        </w:rPr>
      </w:pPr>
      <w:r w:rsidRPr="00733B13">
        <w:rPr>
          <w:bCs/>
          <w:sz w:val="32"/>
          <w:szCs w:val="32"/>
        </w:rPr>
        <w:t xml:space="preserve">      Увеличилось количество выпускников, </w:t>
      </w:r>
      <w:r w:rsidRPr="00733B13">
        <w:rPr>
          <w:sz w:val="32"/>
          <w:szCs w:val="32"/>
        </w:rPr>
        <w:t xml:space="preserve">набравших по результатам ЕГЭ 80 баллов и более с 4 в 2018 году до 6 в 2019 году. </w:t>
      </w:r>
    </w:p>
    <w:p w:rsidR="00733B13" w:rsidRPr="00733B13" w:rsidRDefault="00733B13" w:rsidP="00733B13">
      <w:pPr>
        <w:ind w:firstLine="0"/>
        <w:contextualSpacing/>
        <w:rPr>
          <w:sz w:val="32"/>
          <w:szCs w:val="32"/>
        </w:rPr>
      </w:pPr>
      <w:r w:rsidRPr="00733B13">
        <w:rPr>
          <w:sz w:val="32"/>
          <w:szCs w:val="32"/>
        </w:rPr>
        <w:t xml:space="preserve">      Если сравнивать средний балл ЕГЭ за 2019 год, то рост уровня качества подготовки выпускников можно отметить по математике (профильный уровень), русскому языку, физике, истории. По другим предметам результат ниже среднего областного показателя. </w:t>
      </w:r>
    </w:p>
    <w:p w:rsidR="00733B13" w:rsidRPr="00733B13" w:rsidRDefault="00733B13" w:rsidP="00733B13">
      <w:pPr>
        <w:ind w:firstLine="709"/>
        <w:contextualSpacing/>
        <w:rPr>
          <w:sz w:val="32"/>
          <w:szCs w:val="32"/>
        </w:rPr>
      </w:pPr>
    </w:p>
    <w:tbl>
      <w:tblPr>
        <w:tblW w:w="0" w:type="auto"/>
        <w:jc w:val="center"/>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3"/>
        <w:gridCol w:w="2566"/>
        <w:gridCol w:w="1720"/>
        <w:gridCol w:w="1516"/>
        <w:gridCol w:w="1906"/>
      </w:tblGrid>
      <w:tr w:rsidR="00733B13" w:rsidRPr="00733B13" w:rsidTr="004F3C22">
        <w:trPr>
          <w:trHeight w:val="276"/>
          <w:jc w:val="center"/>
        </w:trPr>
        <w:tc>
          <w:tcPr>
            <w:tcW w:w="652" w:type="dxa"/>
            <w:vMerge w:val="restart"/>
          </w:tcPr>
          <w:p w:rsidR="00733B13" w:rsidRPr="00733B13" w:rsidRDefault="00733B13" w:rsidP="004F3C22">
            <w:pPr>
              <w:pStyle w:val="a4"/>
              <w:widowControl w:val="0"/>
              <w:tabs>
                <w:tab w:val="left" w:pos="993"/>
              </w:tabs>
              <w:suppressAutoHyphens/>
              <w:spacing w:after="0" w:line="240" w:lineRule="auto"/>
              <w:ind w:left="0"/>
              <w:jc w:val="both"/>
              <w:rPr>
                <w:rFonts w:ascii="Times New Roman" w:eastAsia="Arial Unicode MS" w:hAnsi="Times New Roman"/>
                <w:b/>
                <w:sz w:val="32"/>
                <w:szCs w:val="32"/>
              </w:rPr>
            </w:pPr>
            <w:r w:rsidRPr="00733B13">
              <w:rPr>
                <w:rFonts w:ascii="Times New Roman" w:eastAsia="Arial Unicode MS" w:hAnsi="Times New Roman"/>
                <w:b/>
                <w:sz w:val="32"/>
                <w:szCs w:val="32"/>
              </w:rPr>
              <w:t>№ п/п/</w:t>
            </w:r>
          </w:p>
        </w:tc>
        <w:tc>
          <w:tcPr>
            <w:tcW w:w="2566" w:type="dxa"/>
            <w:vMerge w:val="restart"/>
          </w:tcPr>
          <w:p w:rsidR="00733B13" w:rsidRPr="00733B13" w:rsidRDefault="00733B13" w:rsidP="004F3C22">
            <w:pPr>
              <w:pStyle w:val="a4"/>
              <w:widowControl w:val="0"/>
              <w:tabs>
                <w:tab w:val="left" w:pos="993"/>
              </w:tabs>
              <w:suppressAutoHyphens/>
              <w:spacing w:after="0" w:line="240" w:lineRule="auto"/>
              <w:ind w:left="0"/>
              <w:jc w:val="both"/>
              <w:rPr>
                <w:rFonts w:ascii="Times New Roman" w:eastAsia="Arial Unicode MS" w:hAnsi="Times New Roman"/>
                <w:b/>
                <w:sz w:val="32"/>
                <w:szCs w:val="32"/>
              </w:rPr>
            </w:pPr>
            <w:r w:rsidRPr="00733B13">
              <w:rPr>
                <w:rFonts w:ascii="Times New Roman" w:eastAsia="Arial Unicode MS" w:hAnsi="Times New Roman"/>
                <w:b/>
                <w:sz w:val="32"/>
                <w:szCs w:val="32"/>
              </w:rPr>
              <w:t>Учебный предмет</w:t>
            </w:r>
          </w:p>
        </w:tc>
        <w:tc>
          <w:tcPr>
            <w:tcW w:w="4921" w:type="dxa"/>
            <w:gridSpan w:val="3"/>
            <w:tcBorders>
              <w:top w:val="single" w:sz="4" w:space="0" w:color="auto"/>
              <w:bottom w:val="single" w:sz="4" w:space="0" w:color="auto"/>
              <w:right w:val="single" w:sz="4" w:space="0" w:color="auto"/>
            </w:tcBorders>
            <w:shd w:val="clear" w:color="auto" w:fill="auto"/>
          </w:tcPr>
          <w:p w:rsidR="00733B13" w:rsidRPr="00733B13" w:rsidRDefault="00733B13" w:rsidP="004F3C22">
            <w:pPr>
              <w:jc w:val="center"/>
              <w:rPr>
                <w:rFonts w:eastAsia="Arial Unicode MS"/>
                <w:b/>
                <w:sz w:val="32"/>
                <w:szCs w:val="32"/>
              </w:rPr>
            </w:pPr>
            <w:r w:rsidRPr="00733B13">
              <w:rPr>
                <w:rFonts w:eastAsia="Arial Unicode MS"/>
                <w:b/>
                <w:sz w:val="32"/>
                <w:szCs w:val="32"/>
              </w:rPr>
              <w:t>Средний тестовый балл</w:t>
            </w:r>
          </w:p>
        </w:tc>
      </w:tr>
      <w:tr w:rsidR="00733B13" w:rsidRPr="00733B13" w:rsidTr="004F3C22">
        <w:trPr>
          <w:jc w:val="center"/>
        </w:trPr>
        <w:tc>
          <w:tcPr>
            <w:tcW w:w="652" w:type="dxa"/>
            <w:vMerge/>
          </w:tcPr>
          <w:p w:rsidR="00733B13" w:rsidRPr="00733B13" w:rsidRDefault="00733B13" w:rsidP="004F3C22">
            <w:pPr>
              <w:pStyle w:val="a4"/>
              <w:widowControl w:val="0"/>
              <w:tabs>
                <w:tab w:val="left" w:pos="993"/>
              </w:tabs>
              <w:suppressAutoHyphens/>
              <w:spacing w:after="0" w:line="240" w:lineRule="auto"/>
              <w:ind w:left="0"/>
              <w:jc w:val="both"/>
              <w:rPr>
                <w:rFonts w:ascii="Times New Roman" w:eastAsia="Arial Unicode MS" w:hAnsi="Times New Roman"/>
                <w:b/>
                <w:sz w:val="32"/>
                <w:szCs w:val="32"/>
              </w:rPr>
            </w:pPr>
          </w:p>
        </w:tc>
        <w:tc>
          <w:tcPr>
            <w:tcW w:w="2566" w:type="dxa"/>
            <w:vMerge/>
          </w:tcPr>
          <w:p w:rsidR="00733B13" w:rsidRPr="00733B13" w:rsidRDefault="00733B13" w:rsidP="004F3C22">
            <w:pPr>
              <w:pStyle w:val="a4"/>
              <w:widowControl w:val="0"/>
              <w:tabs>
                <w:tab w:val="left" w:pos="993"/>
              </w:tabs>
              <w:suppressAutoHyphens/>
              <w:spacing w:after="0" w:line="240" w:lineRule="auto"/>
              <w:ind w:left="0"/>
              <w:jc w:val="both"/>
              <w:rPr>
                <w:rFonts w:ascii="Times New Roman" w:eastAsia="Arial Unicode MS" w:hAnsi="Times New Roman"/>
                <w:b/>
                <w:sz w:val="32"/>
                <w:szCs w:val="32"/>
              </w:rPr>
            </w:pPr>
          </w:p>
        </w:tc>
        <w:tc>
          <w:tcPr>
            <w:tcW w:w="1720" w:type="dxa"/>
          </w:tcPr>
          <w:p w:rsidR="00733B13" w:rsidRPr="00733B13" w:rsidRDefault="00733B13" w:rsidP="004F3C22">
            <w:pPr>
              <w:pStyle w:val="a4"/>
              <w:widowControl w:val="0"/>
              <w:tabs>
                <w:tab w:val="left" w:pos="993"/>
              </w:tabs>
              <w:suppressAutoHyphens/>
              <w:spacing w:after="0" w:line="240" w:lineRule="auto"/>
              <w:ind w:left="0"/>
              <w:jc w:val="center"/>
              <w:rPr>
                <w:rFonts w:ascii="Times New Roman" w:eastAsia="Arial Unicode MS" w:hAnsi="Times New Roman"/>
                <w:b/>
                <w:sz w:val="32"/>
                <w:szCs w:val="32"/>
              </w:rPr>
            </w:pPr>
            <w:r w:rsidRPr="00733B13">
              <w:rPr>
                <w:rFonts w:ascii="Times New Roman" w:eastAsia="Arial Unicode MS" w:hAnsi="Times New Roman"/>
                <w:b/>
                <w:sz w:val="32"/>
                <w:szCs w:val="32"/>
              </w:rPr>
              <w:t>2018</w:t>
            </w:r>
          </w:p>
        </w:tc>
        <w:tc>
          <w:tcPr>
            <w:tcW w:w="1516" w:type="dxa"/>
          </w:tcPr>
          <w:p w:rsidR="00733B13" w:rsidRPr="00733B13" w:rsidRDefault="00733B13" w:rsidP="004F3C22">
            <w:pPr>
              <w:pStyle w:val="a4"/>
              <w:widowControl w:val="0"/>
              <w:tabs>
                <w:tab w:val="left" w:pos="993"/>
              </w:tabs>
              <w:suppressAutoHyphens/>
              <w:spacing w:after="0" w:line="240" w:lineRule="auto"/>
              <w:ind w:left="0"/>
              <w:jc w:val="center"/>
              <w:rPr>
                <w:rFonts w:ascii="Times New Roman" w:eastAsia="Arial Unicode MS" w:hAnsi="Times New Roman"/>
                <w:b/>
                <w:sz w:val="32"/>
                <w:szCs w:val="32"/>
              </w:rPr>
            </w:pPr>
            <w:r w:rsidRPr="00733B13">
              <w:rPr>
                <w:rFonts w:ascii="Times New Roman" w:eastAsia="Arial Unicode MS" w:hAnsi="Times New Roman"/>
                <w:b/>
                <w:sz w:val="32"/>
                <w:szCs w:val="32"/>
              </w:rPr>
              <w:t>2019</w:t>
            </w:r>
          </w:p>
        </w:tc>
        <w:tc>
          <w:tcPr>
            <w:tcW w:w="1685" w:type="dxa"/>
          </w:tcPr>
          <w:p w:rsidR="00733B13" w:rsidRPr="00733B13" w:rsidRDefault="00733B13" w:rsidP="004F3C22">
            <w:pPr>
              <w:pStyle w:val="a4"/>
              <w:widowControl w:val="0"/>
              <w:tabs>
                <w:tab w:val="left" w:pos="993"/>
              </w:tabs>
              <w:suppressAutoHyphens/>
              <w:spacing w:after="0" w:line="240" w:lineRule="auto"/>
              <w:ind w:left="0"/>
              <w:jc w:val="center"/>
              <w:rPr>
                <w:rFonts w:ascii="Times New Roman" w:eastAsia="Arial Unicode MS" w:hAnsi="Times New Roman"/>
                <w:b/>
                <w:sz w:val="32"/>
                <w:szCs w:val="32"/>
              </w:rPr>
            </w:pPr>
            <w:r w:rsidRPr="00733B13">
              <w:rPr>
                <w:rFonts w:ascii="Times New Roman" w:eastAsia="Arial Unicode MS" w:hAnsi="Times New Roman"/>
                <w:b/>
                <w:sz w:val="32"/>
                <w:szCs w:val="32"/>
              </w:rPr>
              <w:t>Пензенская область-2019</w:t>
            </w:r>
          </w:p>
        </w:tc>
      </w:tr>
      <w:tr w:rsidR="00733B13" w:rsidRPr="00733B13" w:rsidTr="004F3C22">
        <w:trPr>
          <w:jc w:val="center"/>
        </w:trPr>
        <w:tc>
          <w:tcPr>
            <w:tcW w:w="652" w:type="dxa"/>
          </w:tcPr>
          <w:p w:rsidR="00733B13" w:rsidRPr="00733B13" w:rsidRDefault="00733B13" w:rsidP="004F3C22">
            <w:pPr>
              <w:pStyle w:val="a4"/>
              <w:widowControl w:val="0"/>
              <w:tabs>
                <w:tab w:val="left" w:pos="993"/>
              </w:tabs>
              <w:suppressAutoHyphens/>
              <w:spacing w:after="0" w:line="240" w:lineRule="auto"/>
              <w:ind w:left="0"/>
              <w:jc w:val="both"/>
              <w:rPr>
                <w:rFonts w:ascii="Times New Roman" w:eastAsia="Arial Unicode MS" w:hAnsi="Times New Roman"/>
                <w:sz w:val="32"/>
                <w:szCs w:val="32"/>
              </w:rPr>
            </w:pPr>
            <w:r w:rsidRPr="00733B13">
              <w:rPr>
                <w:rFonts w:ascii="Times New Roman" w:eastAsia="Arial Unicode MS" w:hAnsi="Times New Roman"/>
                <w:sz w:val="32"/>
                <w:szCs w:val="32"/>
              </w:rPr>
              <w:t>1.</w:t>
            </w:r>
          </w:p>
        </w:tc>
        <w:tc>
          <w:tcPr>
            <w:tcW w:w="2566" w:type="dxa"/>
          </w:tcPr>
          <w:p w:rsidR="00733B13" w:rsidRPr="00733B13" w:rsidRDefault="00733B13" w:rsidP="004F3C22">
            <w:pPr>
              <w:pStyle w:val="a4"/>
              <w:widowControl w:val="0"/>
              <w:tabs>
                <w:tab w:val="left" w:pos="993"/>
              </w:tabs>
              <w:suppressAutoHyphens/>
              <w:spacing w:after="0" w:line="240" w:lineRule="auto"/>
              <w:ind w:left="0"/>
              <w:jc w:val="both"/>
              <w:rPr>
                <w:rFonts w:ascii="Times New Roman" w:eastAsia="Arial Unicode MS" w:hAnsi="Times New Roman"/>
                <w:sz w:val="32"/>
                <w:szCs w:val="32"/>
              </w:rPr>
            </w:pPr>
            <w:r w:rsidRPr="00733B13">
              <w:rPr>
                <w:rFonts w:ascii="Times New Roman" w:eastAsia="Arial Unicode MS" w:hAnsi="Times New Roman"/>
                <w:sz w:val="32"/>
                <w:szCs w:val="32"/>
              </w:rPr>
              <w:t>Русский язык</w:t>
            </w:r>
          </w:p>
        </w:tc>
        <w:tc>
          <w:tcPr>
            <w:tcW w:w="1720" w:type="dxa"/>
          </w:tcPr>
          <w:p w:rsidR="00733B13" w:rsidRPr="00733B13" w:rsidRDefault="00733B13" w:rsidP="004F3C22">
            <w:pPr>
              <w:jc w:val="center"/>
              <w:rPr>
                <w:rFonts w:ascii="Arial" w:hAnsi="Arial" w:cs="Arial"/>
                <w:bCs/>
                <w:sz w:val="32"/>
                <w:szCs w:val="32"/>
              </w:rPr>
            </w:pPr>
            <w:r w:rsidRPr="00733B13">
              <w:rPr>
                <w:rFonts w:ascii="Arial" w:hAnsi="Arial" w:cs="Arial"/>
                <w:bCs/>
                <w:sz w:val="32"/>
                <w:szCs w:val="32"/>
              </w:rPr>
              <w:t>67,5</w:t>
            </w:r>
          </w:p>
        </w:tc>
        <w:tc>
          <w:tcPr>
            <w:tcW w:w="1516" w:type="dxa"/>
          </w:tcPr>
          <w:p w:rsidR="00733B13" w:rsidRPr="00733B13" w:rsidRDefault="00733B13" w:rsidP="004F3C22">
            <w:pPr>
              <w:jc w:val="center"/>
              <w:rPr>
                <w:rFonts w:ascii="Arial" w:hAnsi="Arial" w:cs="Arial"/>
                <w:bCs/>
                <w:sz w:val="32"/>
                <w:szCs w:val="32"/>
              </w:rPr>
            </w:pPr>
            <w:r w:rsidRPr="00733B13">
              <w:rPr>
                <w:rFonts w:ascii="Arial" w:hAnsi="Arial" w:cs="Arial"/>
                <w:bCs/>
                <w:sz w:val="32"/>
                <w:szCs w:val="32"/>
              </w:rPr>
              <w:t>67,7↑</w:t>
            </w:r>
          </w:p>
        </w:tc>
        <w:tc>
          <w:tcPr>
            <w:tcW w:w="1685" w:type="dxa"/>
          </w:tcPr>
          <w:p w:rsidR="00733B13" w:rsidRPr="00733B13" w:rsidRDefault="00733B13" w:rsidP="004F3C22">
            <w:pPr>
              <w:jc w:val="center"/>
              <w:rPr>
                <w:rFonts w:ascii="Arial" w:hAnsi="Arial" w:cs="Arial"/>
                <w:b/>
                <w:bCs/>
                <w:sz w:val="32"/>
                <w:szCs w:val="32"/>
              </w:rPr>
            </w:pPr>
            <w:r w:rsidRPr="00733B13">
              <w:rPr>
                <w:rFonts w:ascii="Arial" w:hAnsi="Arial" w:cs="Arial"/>
                <w:b/>
                <w:bCs/>
                <w:sz w:val="32"/>
                <w:szCs w:val="32"/>
              </w:rPr>
              <w:t>69,1</w:t>
            </w:r>
          </w:p>
        </w:tc>
      </w:tr>
      <w:tr w:rsidR="00733B13" w:rsidRPr="00733B13" w:rsidTr="004F3C22">
        <w:trPr>
          <w:jc w:val="center"/>
        </w:trPr>
        <w:tc>
          <w:tcPr>
            <w:tcW w:w="652" w:type="dxa"/>
          </w:tcPr>
          <w:p w:rsidR="00733B13" w:rsidRPr="00733B13" w:rsidRDefault="00733B13" w:rsidP="004F3C22">
            <w:pPr>
              <w:pStyle w:val="a4"/>
              <w:widowControl w:val="0"/>
              <w:tabs>
                <w:tab w:val="left" w:pos="993"/>
              </w:tabs>
              <w:suppressAutoHyphens/>
              <w:spacing w:after="0" w:line="240" w:lineRule="auto"/>
              <w:ind w:left="0"/>
              <w:jc w:val="both"/>
              <w:rPr>
                <w:rFonts w:ascii="Times New Roman" w:eastAsia="Arial Unicode MS" w:hAnsi="Times New Roman"/>
                <w:sz w:val="32"/>
                <w:szCs w:val="32"/>
              </w:rPr>
            </w:pPr>
            <w:r w:rsidRPr="00733B13">
              <w:rPr>
                <w:rFonts w:ascii="Times New Roman" w:eastAsia="Arial Unicode MS" w:hAnsi="Times New Roman"/>
                <w:sz w:val="32"/>
                <w:szCs w:val="32"/>
              </w:rPr>
              <w:t>2.</w:t>
            </w:r>
          </w:p>
        </w:tc>
        <w:tc>
          <w:tcPr>
            <w:tcW w:w="2566" w:type="dxa"/>
          </w:tcPr>
          <w:p w:rsidR="00733B13" w:rsidRPr="00733B13" w:rsidRDefault="00733B13" w:rsidP="004F3C22">
            <w:pPr>
              <w:pStyle w:val="a4"/>
              <w:widowControl w:val="0"/>
              <w:tabs>
                <w:tab w:val="left" w:pos="993"/>
              </w:tabs>
              <w:suppressAutoHyphens/>
              <w:spacing w:after="0" w:line="240" w:lineRule="auto"/>
              <w:ind w:left="0"/>
              <w:jc w:val="both"/>
              <w:rPr>
                <w:rFonts w:ascii="Times New Roman" w:eastAsia="Arial Unicode MS" w:hAnsi="Times New Roman"/>
                <w:sz w:val="32"/>
                <w:szCs w:val="32"/>
              </w:rPr>
            </w:pPr>
            <w:r w:rsidRPr="00733B13">
              <w:rPr>
                <w:rFonts w:ascii="Times New Roman" w:eastAsia="Arial Unicode MS" w:hAnsi="Times New Roman"/>
                <w:sz w:val="32"/>
                <w:szCs w:val="32"/>
              </w:rPr>
              <w:t>Математика (база)</w:t>
            </w:r>
          </w:p>
        </w:tc>
        <w:tc>
          <w:tcPr>
            <w:tcW w:w="1720" w:type="dxa"/>
          </w:tcPr>
          <w:p w:rsidR="00733B13" w:rsidRPr="00733B13" w:rsidRDefault="00733B13" w:rsidP="004F3C22">
            <w:pPr>
              <w:jc w:val="center"/>
              <w:rPr>
                <w:rFonts w:ascii="Arial" w:hAnsi="Arial" w:cs="Arial"/>
                <w:bCs/>
                <w:sz w:val="32"/>
                <w:szCs w:val="32"/>
              </w:rPr>
            </w:pPr>
            <w:r w:rsidRPr="00733B13">
              <w:rPr>
                <w:rFonts w:ascii="Arial" w:hAnsi="Arial" w:cs="Arial"/>
                <w:bCs/>
                <w:sz w:val="32"/>
                <w:szCs w:val="32"/>
              </w:rPr>
              <w:t>4</w:t>
            </w:r>
          </w:p>
        </w:tc>
        <w:tc>
          <w:tcPr>
            <w:tcW w:w="1516" w:type="dxa"/>
          </w:tcPr>
          <w:p w:rsidR="00733B13" w:rsidRPr="00733B13" w:rsidRDefault="00733B13" w:rsidP="004F3C22">
            <w:pPr>
              <w:jc w:val="center"/>
              <w:rPr>
                <w:rFonts w:ascii="Arial" w:hAnsi="Arial" w:cs="Arial"/>
                <w:bCs/>
                <w:sz w:val="32"/>
                <w:szCs w:val="32"/>
              </w:rPr>
            </w:pPr>
            <w:r w:rsidRPr="00733B13">
              <w:rPr>
                <w:rFonts w:ascii="Arial" w:hAnsi="Arial" w:cs="Arial"/>
                <w:bCs/>
                <w:sz w:val="32"/>
                <w:szCs w:val="32"/>
              </w:rPr>
              <w:t>4,3↑</w:t>
            </w:r>
          </w:p>
        </w:tc>
        <w:tc>
          <w:tcPr>
            <w:tcW w:w="1685" w:type="dxa"/>
          </w:tcPr>
          <w:p w:rsidR="00733B13" w:rsidRPr="00733B13" w:rsidRDefault="00733B13" w:rsidP="004F3C22">
            <w:pPr>
              <w:jc w:val="center"/>
              <w:rPr>
                <w:rFonts w:ascii="Arial" w:hAnsi="Arial" w:cs="Arial"/>
                <w:b/>
                <w:bCs/>
                <w:sz w:val="32"/>
                <w:szCs w:val="32"/>
              </w:rPr>
            </w:pPr>
            <w:r w:rsidRPr="00733B13">
              <w:rPr>
                <w:rFonts w:ascii="Arial" w:hAnsi="Arial" w:cs="Arial"/>
                <w:b/>
                <w:bCs/>
                <w:sz w:val="32"/>
                <w:szCs w:val="32"/>
              </w:rPr>
              <w:t>4,2</w:t>
            </w:r>
          </w:p>
        </w:tc>
      </w:tr>
      <w:tr w:rsidR="00733B13" w:rsidRPr="00733B13" w:rsidTr="004F3C22">
        <w:trPr>
          <w:jc w:val="center"/>
        </w:trPr>
        <w:tc>
          <w:tcPr>
            <w:tcW w:w="652" w:type="dxa"/>
          </w:tcPr>
          <w:p w:rsidR="00733B13" w:rsidRPr="00733B13" w:rsidRDefault="00733B13" w:rsidP="004F3C22">
            <w:pPr>
              <w:pStyle w:val="a4"/>
              <w:widowControl w:val="0"/>
              <w:tabs>
                <w:tab w:val="left" w:pos="993"/>
              </w:tabs>
              <w:suppressAutoHyphens/>
              <w:spacing w:after="0" w:line="240" w:lineRule="auto"/>
              <w:ind w:left="0"/>
              <w:jc w:val="both"/>
              <w:rPr>
                <w:rFonts w:ascii="Times New Roman" w:eastAsia="Arial Unicode MS" w:hAnsi="Times New Roman"/>
                <w:sz w:val="32"/>
                <w:szCs w:val="32"/>
              </w:rPr>
            </w:pPr>
            <w:r w:rsidRPr="00733B13">
              <w:rPr>
                <w:rFonts w:ascii="Times New Roman" w:eastAsia="Arial Unicode MS" w:hAnsi="Times New Roman"/>
                <w:sz w:val="32"/>
                <w:szCs w:val="32"/>
              </w:rPr>
              <w:t>3.</w:t>
            </w:r>
          </w:p>
        </w:tc>
        <w:tc>
          <w:tcPr>
            <w:tcW w:w="2566" w:type="dxa"/>
          </w:tcPr>
          <w:p w:rsidR="00733B13" w:rsidRPr="00733B13" w:rsidRDefault="00733B13" w:rsidP="004F3C22">
            <w:pPr>
              <w:pStyle w:val="a4"/>
              <w:widowControl w:val="0"/>
              <w:tabs>
                <w:tab w:val="left" w:pos="993"/>
              </w:tabs>
              <w:suppressAutoHyphens/>
              <w:spacing w:after="0" w:line="240" w:lineRule="auto"/>
              <w:ind w:left="0"/>
              <w:jc w:val="both"/>
              <w:rPr>
                <w:rFonts w:ascii="Times New Roman" w:eastAsia="Arial Unicode MS" w:hAnsi="Times New Roman"/>
                <w:sz w:val="32"/>
                <w:szCs w:val="32"/>
              </w:rPr>
            </w:pPr>
            <w:r w:rsidRPr="00733B13">
              <w:rPr>
                <w:rFonts w:ascii="Times New Roman" w:eastAsia="Arial Unicode MS" w:hAnsi="Times New Roman"/>
                <w:sz w:val="32"/>
                <w:szCs w:val="32"/>
              </w:rPr>
              <w:t>Математика (профиль)</w:t>
            </w:r>
          </w:p>
        </w:tc>
        <w:tc>
          <w:tcPr>
            <w:tcW w:w="1720" w:type="dxa"/>
          </w:tcPr>
          <w:p w:rsidR="00733B13" w:rsidRPr="00733B13" w:rsidRDefault="00733B13" w:rsidP="004F3C22">
            <w:pPr>
              <w:jc w:val="center"/>
              <w:rPr>
                <w:rFonts w:ascii="Arial" w:hAnsi="Arial" w:cs="Arial"/>
                <w:bCs/>
                <w:sz w:val="32"/>
                <w:szCs w:val="32"/>
              </w:rPr>
            </w:pPr>
            <w:r w:rsidRPr="00733B13">
              <w:rPr>
                <w:rFonts w:ascii="Arial" w:hAnsi="Arial" w:cs="Arial"/>
                <w:bCs/>
                <w:sz w:val="32"/>
                <w:szCs w:val="32"/>
              </w:rPr>
              <w:t>45,9</w:t>
            </w:r>
          </w:p>
        </w:tc>
        <w:tc>
          <w:tcPr>
            <w:tcW w:w="1516" w:type="dxa"/>
          </w:tcPr>
          <w:p w:rsidR="00733B13" w:rsidRPr="00733B13" w:rsidRDefault="00733B13" w:rsidP="004F3C22">
            <w:pPr>
              <w:jc w:val="center"/>
              <w:rPr>
                <w:rFonts w:ascii="Arial" w:hAnsi="Arial" w:cs="Arial"/>
                <w:bCs/>
                <w:sz w:val="32"/>
                <w:szCs w:val="32"/>
              </w:rPr>
            </w:pPr>
            <w:r w:rsidRPr="00733B13">
              <w:rPr>
                <w:rFonts w:ascii="Arial" w:hAnsi="Arial" w:cs="Arial"/>
                <w:bCs/>
                <w:sz w:val="32"/>
                <w:szCs w:val="32"/>
              </w:rPr>
              <w:t>49,3↑</w:t>
            </w:r>
          </w:p>
        </w:tc>
        <w:tc>
          <w:tcPr>
            <w:tcW w:w="1685" w:type="dxa"/>
          </w:tcPr>
          <w:p w:rsidR="00733B13" w:rsidRPr="00733B13" w:rsidRDefault="00733B13" w:rsidP="004F3C22">
            <w:pPr>
              <w:jc w:val="center"/>
              <w:rPr>
                <w:rFonts w:ascii="Arial" w:hAnsi="Arial" w:cs="Arial"/>
                <w:b/>
                <w:bCs/>
                <w:sz w:val="32"/>
                <w:szCs w:val="32"/>
              </w:rPr>
            </w:pPr>
            <w:r w:rsidRPr="00733B13">
              <w:rPr>
                <w:rFonts w:ascii="Arial" w:hAnsi="Arial" w:cs="Arial"/>
                <w:b/>
                <w:bCs/>
                <w:sz w:val="32"/>
                <w:szCs w:val="32"/>
              </w:rPr>
              <w:t>57,1</w:t>
            </w:r>
          </w:p>
        </w:tc>
      </w:tr>
      <w:tr w:rsidR="00733B13" w:rsidRPr="00733B13" w:rsidTr="004F3C22">
        <w:trPr>
          <w:jc w:val="center"/>
        </w:trPr>
        <w:tc>
          <w:tcPr>
            <w:tcW w:w="652" w:type="dxa"/>
          </w:tcPr>
          <w:p w:rsidR="00733B13" w:rsidRPr="00733B13" w:rsidRDefault="00733B13" w:rsidP="004F3C22">
            <w:pPr>
              <w:pStyle w:val="a4"/>
              <w:widowControl w:val="0"/>
              <w:tabs>
                <w:tab w:val="left" w:pos="993"/>
              </w:tabs>
              <w:suppressAutoHyphens/>
              <w:spacing w:after="0" w:line="240" w:lineRule="auto"/>
              <w:ind w:left="0"/>
              <w:jc w:val="both"/>
              <w:rPr>
                <w:rFonts w:ascii="Times New Roman" w:eastAsia="Arial Unicode MS" w:hAnsi="Times New Roman"/>
                <w:sz w:val="32"/>
                <w:szCs w:val="32"/>
              </w:rPr>
            </w:pPr>
            <w:r w:rsidRPr="00733B13">
              <w:rPr>
                <w:rFonts w:ascii="Times New Roman" w:eastAsia="Arial Unicode MS" w:hAnsi="Times New Roman"/>
                <w:sz w:val="32"/>
                <w:szCs w:val="32"/>
              </w:rPr>
              <w:t>4.</w:t>
            </w:r>
          </w:p>
        </w:tc>
        <w:tc>
          <w:tcPr>
            <w:tcW w:w="2566" w:type="dxa"/>
          </w:tcPr>
          <w:p w:rsidR="00733B13" w:rsidRPr="00733B13" w:rsidRDefault="00733B13" w:rsidP="004F3C22">
            <w:pPr>
              <w:pStyle w:val="a4"/>
              <w:widowControl w:val="0"/>
              <w:tabs>
                <w:tab w:val="left" w:pos="993"/>
              </w:tabs>
              <w:suppressAutoHyphens/>
              <w:spacing w:after="0" w:line="240" w:lineRule="auto"/>
              <w:ind w:left="0"/>
              <w:jc w:val="both"/>
              <w:rPr>
                <w:rFonts w:ascii="Times New Roman" w:eastAsia="Arial Unicode MS" w:hAnsi="Times New Roman"/>
                <w:sz w:val="32"/>
                <w:szCs w:val="32"/>
              </w:rPr>
            </w:pPr>
            <w:r w:rsidRPr="00733B13">
              <w:rPr>
                <w:rFonts w:ascii="Times New Roman" w:eastAsia="Arial Unicode MS" w:hAnsi="Times New Roman"/>
                <w:sz w:val="32"/>
                <w:szCs w:val="32"/>
              </w:rPr>
              <w:t>Физика</w:t>
            </w:r>
          </w:p>
        </w:tc>
        <w:tc>
          <w:tcPr>
            <w:tcW w:w="1720" w:type="dxa"/>
          </w:tcPr>
          <w:p w:rsidR="00733B13" w:rsidRPr="00733B13" w:rsidRDefault="00733B13" w:rsidP="004F3C22">
            <w:pPr>
              <w:jc w:val="center"/>
              <w:rPr>
                <w:rFonts w:ascii="Arial" w:hAnsi="Arial" w:cs="Arial"/>
                <w:bCs/>
                <w:sz w:val="32"/>
                <w:szCs w:val="32"/>
              </w:rPr>
            </w:pPr>
            <w:r w:rsidRPr="00733B13">
              <w:rPr>
                <w:rFonts w:ascii="Arial" w:hAnsi="Arial" w:cs="Arial"/>
                <w:bCs/>
                <w:sz w:val="32"/>
                <w:szCs w:val="32"/>
              </w:rPr>
              <w:t>44</w:t>
            </w:r>
          </w:p>
        </w:tc>
        <w:tc>
          <w:tcPr>
            <w:tcW w:w="1516" w:type="dxa"/>
          </w:tcPr>
          <w:p w:rsidR="00733B13" w:rsidRPr="00733B13" w:rsidRDefault="00733B13" w:rsidP="004F3C22">
            <w:pPr>
              <w:jc w:val="center"/>
              <w:rPr>
                <w:rFonts w:ascii="Arial" w:hAnsi="Arial" w:cs="Arial"/>
                <w:b/>
                <w:bCs/>
                <w:sz w:val="32"/>
                <w:szCs w:val="32"/>
              </w:rPr>
            </w:pPr>
            <w:r w:rsidRPr="00733B13">
              <w:rPr>
                <w:rFonts w:ascii="Arial" w:hAnsi="Arial" w:cs="Arial"/>
                <w:b/>
                <w:bCs/>
                <w:sz w:val="32"/>
                <w:szCs w:val="32"/>
              </w:rPr>
              <w:t>48,5↑</w:t>
            </w:r>
          </w:p>
        </w:tc>
        <w:tc>
          <w:tcPr>
            <w:tcW w:w="1685" w:type="dxa"/>
          </w:tcPr>
          <w:p w:rsidR="00733B13" w:rsidRPr="00733B13" w:rsidRDefault="00733B13" w:rsidP="004F3C22">
            <w:pPr>
              <w:jc w:val="center"/>
              <w:rPr>
                <w:rFonts w:ascii="Arial" w:hAnsi="Arial" w:cs="Arial"/>
                <w:bCs/>
                <w:sz w:val="32"/>
                <w:szCs w:val="32"/>
              </w:rPr>
            </w:pPr>
            <w:r w:rsidRPr="00733B13">
              <w:rPr>
                <w:rFonts w:ascii="Arial" w:hAnsi="Arial" w:cs="Arial"/>
                <w:bCs/>
                <w:sz w:val="32"/>
                <w:szCs w:val="32"/>
              </w:rPr>
              <w:t>53,9</w:t>
            </w:r>
          </w:p>
        </w:tc>
      </w:tr>
      <w:tr w:rsidR="00733B13" w:rsidRPr="00733B13" w:rsidTr="004F3C22">
        <w:trPr>
          <w:jc w:val="center"/>
        </w:trPr>
        <w:tc>
          <w:tcPr>
            <w:tcW w:w="652" w:type="dxa"/>
          </w:tcPr>
          <w:p w:rsidR="00733B13" w:rsidRPr="00733B13" w:rsidRDefault="00733B13" w:rsidP="004F3C22">
            <w:pPr>
              <w:pStyle w:val="a4"/>
              <w:widowControl w:val="0"/>
              <w:tabs>
                <w:tab w:val="left" w:pos="993"/>
              </w:tabs>
              <w:suppressAutoHyphens/>
              <w:spacing w:after="0" w:line="240" w:lineRule="auto"/>
              <w:ind w:left="0"/>
              <w:jc w:val="both"/>
              <w:rPr>
                <w:rFonts w:ascii="Times New Roman" w:eastAsia="Arial Unicode MS" w:hAnsi="Times New Roman"/>
                <w:sz w:val="32"/>
                <w:szCs w:val="32"/>
              </w:rPr>
            </w:pPr>
            <w:r w:rsidRPr="00733B13">
              <w:rPr>
                <w:rFonts w:ascii="Times New Roman" w:eastAsia="Arial Unicode MS" w:hAnsi="Times New Roman"/>
                <w:sz w:val="32"/>
                <w:szCs w:val="32"/>
              </w:rPr>
              <w:t>5.</w:t>
            </w:r>
          </w:p>
        </w:tc>
        <w:tc>
          <w:tcPr>
            <w:tcW w:w="2566" w:type="dxa"/>
          </w:tcPr>
          <w:p w:rsidR="00733B13" w:rsidRPr="00733B13" w:rsidRDefault="00733B13" w:rsidP="004F3C22">
            <w:pPr>
              <w:pStyle w:val="a4"/>
              <w:widowControl w:val="0"/>
              <w:tabs>
                <w:tab w:val="left" w:pos="993"/>
              </w:tabs>
              <w:suppressAutoHyphens/>
              <w:spacing w:after="0" w:line="240" w:lineRule="auto"/>
              <w:ind w:left="0"/>
              <w:jc w:val="both"/>
              <w:rPr>
                <w:rFonts w:ascii="Times New Roman" w:eastAsia="Arial Unicode MS" w:hAnsi="Times New Roman"/>
                <w:sz w:val="32"/>
                <w:szCs w:val="32"/>
              </w:rPr>
            </w:pPr>
            <w:r w:rsidRPr="00733B13">
              <w:rPr>
                <w:rFonts w:ascii="Times New Roman" w:eastAsia="Arial Unicode MS" w:hAnsi="Times New Roman"/>
                <w:sz w:val="32"/>
                <w:szCs w:val="32"/>
              </w:rPr>
              <w:t>История</w:t>
            </w:r>
          </w:p>
        </w:tc>
        <w:tc>
          <w:tcPr>
            <w:tcW w:w="1720" w:type="dxa"/>
          </w:tcPr>
          <w:p w:rsidR="00733B13" w:rsidRPr="00733B13" w:rsidRDefault="00733B13" w:rsidP="004F3C22">
            <w:pPr>
              <w:jc w:val="center"/>
              <w:rPr>
                <w:rFonts w:ascii="Arial" w:hAnsi="Arial" w:cs="Arial"/>
                <w:bCs/>
                <w:sz w:val="32"/>
                <w:szCs w:val="32"/>
              </w:rPr>
            </w:pPr>
            <w:r w:rsidRPr="00733B13">
              <w:rPr>
                <w:rFonts w:ascii="Arial" w:hAnsi="Arial" w:cs="Arial"/>
                <w:bCs/>
                <w:sz w:val="32"/>
                <w:szCs w:val="32"/>
              </w:rPr>
              <w:t>50,5</w:t>
            </w:r>
          </w:p>
        </w:tc>
        <w:tc>
          <w:tcPr>
            <w:tcW w:w="1516" w:type="dxa"/>
          </w:tcPr>
          <w:p w:rsidR="00733B13" w:rsidRPr="00733B13" w:rsidRDefault="00733B13" w:rsidP="004F3C22">
            <w:pPr>
              <w:jc w:val="center"/>
              <w:rPr>
                <w:rFonts w:ascii="Arial" w:hAnsi="Arial" w:cs="Arial"/>
                <w:b/>
                <w:bCs/>
                <w:sz w:val="32"/>
                <w:szCs w:val="32"/>
              </w:rPr>
            </w:pPr>
            <w:r w:rsidRPr="00733B13">
              <w:rPr>
                <w:rFonts w:ascii="Arial" w:hAnsi="Arial" w:cs="Arial"/>
                <w:b/>
                <w:bCs/>
                <w:sz w:val="32"/>
                <w:szCs w:val="32"/>
              </w:rPr>
              <w:t>64,8↑</w:t>
            </w:r>
          </w:p>
        </w:tc>
        <w:tc>
          <w:tcPr>
            <w:tcW w:w="1685" w:type="dxa"/>
          </w:tcPr>
          <w:p w:rsidR="00733B13" w:rsidRPr="00733B13" w:rsidRDefault="00733B13" w:rsidP="004F3C22">
            <w:pPr>
              <w:jc w:val="center"/>
              <w:rPr>
                <w:rFonts w:ascii="Arial" w:hAnsi="Arial" w:cs="Arial"/>
                <w:bCs/>
                <w:sz w:val="32"/>
                <w:szCs w:val="32"/>
              </w:rPr>
            </w:pPr>
            <w:r w:rsidRPr="00733B13">
              <w:rPr>
                <w:rFonts w:ascii="Arial" w:hAnsi="Arial" w:cs="Arial"/>
                <w:bCs/>
                <w:sz w:val="32"/>
                <w:szCs w:val="32"/>
              </w:rPr>
              <w:t>59,8</w:t>
            </w:r>
          </w:p>
        </w:tc>
      </w:tr>
      <w:tr w:rsidR="00733B13" w:rsidRPr="00733B13" w:rsidTr="004F3C22">
        <w:trPr>
          <w:jc w:val="center"/>
        </w:trPr>
        <w:tc>
          <w:tcPr>
            <w:tcW w:w="652" w:type="dxa"/>
          </w:tcPr>
          <w:p w:rsidR="00733B13" w:rsidRPr="00733B13" w:rsidRDefault="00733B13" w:rsidP="004F3C22">
            <w:pPr>
              <w:pStyle w:val="a4"/>
              <w:widowControl w:val="0"/>
              <w:tabs>
                <w:tab w:val="left" w:pos="993"/>
              </w:tabs>
              <w:suppressAutoHyphens/>
              <w:spacing w:after="0" w:line="240" w:lineRule="auto"/>
              <w:ind w:left="0"/>
              <w:jc w:val="both"/>
              <w:rPr>
                <w:rFonts w:ascii="Times New Roman" w:eastAsia="Arial Unicode MS" w:hAnsi="Times New Roman"/>
                <w:sz w:val="32"/>
                <w:szCs w:val="32"/>
              </w:rPr>
            </w:pPr>
            <w:r w:rsidRPr="00733B13">
              <w:rPr>
                <w:rFonts w:ascii="Times New Roman" w:eastAsia="Arial Unicode MS" w:hAnsi="Times New Roman"/>
                <w:sz w:val="32"/>
                <w:szCs w:val="32"/>
              </w:rPr>
              <w:t>6.</w:t>
            </w:r>
          </w:p>
        </w:tc>
        <w:tc>
          <w:tcPr>
            <w:tcW w:w="2566" w:type="dxa"/>
          </w:tcPr>
          <w:p w:rsidR="00733B13" w:rsidRPr="00733B13" w:rsidRDefault="00733B13" w:rsidP="004F3C22">
            <w:pPr>
              <w:pStyle w:val="a4"/>
              <w:widowControl w:val="0"/>
              <w:tabs>
                <w:tab w:val="left" w:pos="993"/>
              </w:tabs>
              <w:suppressAutoHyphens/>
              <w:spacing w:after="0" w:line="240" w:lineRule="auto"/>
              <w:ind w:left="0"/>
              <w:jc w:val="both"/>
              <w:rPr>
                <w:rFonts w:ascii="Times New Roman" w:eastAsia="Arial Unicode MS" w:hAnsi="Times New Roman"/>
                <w:sz w:val="32"/>
                <w:szCs w:val="32"/>
              </w:rPr>
            </w:pPr>
            <w:r w:rsidRPr="00733B13">
              <w:rPr>
                <w:rFonts w:ascii="Times New Roman" w:eastAsia="Arial Unicode MS" w:hAnsi="Times New Roman"/>
                <w:sz w:val="32"/>
                <w:szCs w:val="32"/>
              </w:rPr>
              <w:t>Обществознание</w:t>
            </w:r>
          </w:p>
        </w:tc>
        <w:tc>
          <w:tcPr>
            <w:tcW w:w="1720" w:type="dxa"/>
          </w:tcPr>
          <w:p w:rsidR="00733B13" w:rsidRPr="00733B13" w:rsidRDefault="00733B13" w:rsidP="004F3C22">
            <w:pPr>
              <w:jc w:val="center"/>
              <w:rPr>
                <w:rFonts w:ascii="Arial" w:hAnsi="Arial" w:cs="Arial"/>
                <w:bCs/>
                <w:sz w:val="32"/>
                <w:szCs w:val="32"/>
              </w:rPr>
            </w:pPr>
            <w:r w:rsidRPr="00733B13">
              <w:rPr>
                <w:rFonts w:ascii="Arial" w:hAnsi="Arial" w:cs="Arial"/>
                <w:bCs/>
                <w:sz w:val="32"/>
                <w:szCs w:val="32"/>
              </w:rPr>
              <w:t>62,3</w:t>
            </w:r>
          </w:p>
        </w:tc>
        <w:tc>
          <w:tcPr>
            <w:tcW w:w="1516" w:type="dxa"/>
          </w:tcPr>
          <w:p w:rsidR="00733B13" w:rsidRPr="00733B13" w:rsidRDefault="00733B13" w:rsidP="004F3C22">
            <w:pPr>
              <w:jc w:val="center"/>
              <w:rPr>
                <w:rFonts w:ascii="Arial" w:hAnsi="Arial" w:cs="Arial"/>
                <w:b/>
                <w:bCs/>
                <w:sz w:val="32"/>
                <w:szCs w:val="32"/>
              </w:rPr>
            </w:pPr>
            <w:r w:rsidRPr="00733B13">
              <w:rPr>
                <w:rFonts w:ascii="Arial" w:hAnsi="Arial" w:cs="Arial"/>
                <w:b/>
                <w:bCs/>
                <w:sz w:val="32"/>
                <w:szCs w:val="32"/>
              </w:rPr>
              <w:t>55,7</w:t>
            </w:r>
          </w:p>
        </w:tc>
        <w:tc>
          <w:tcPr>
            <w:tcW w:w="1685" w:type="dxa"/>
          </w:tcPr>
          <w:p w:rsidR="00733B13" w:rsidRPr="00733B13" w:rsidRDefault="00733B13" w:rsidP="004F3C22">
            <w:pPr>
              <w:jc w:val="center"/>
              <w:rPr>
                <w:rFonts w:ascii="Arial" w:hAnsi="Arial" w:cs="Arial"/>
                <w:bCs/>
                <w:sz w:val="32"/>
                <w:szCs w:val="32"/>
              </w:rPr>
            </w:pPr>
            <w:r w:rsidRPr="00733B13">
              <w:rPr>
                <w:rFonts w:ascii="Arial" w:hAnsi="Arial" w:cs="Arial"/>
                <w:bCs/>
                <w:sz w:val="32"/>
                <w:szCs w:val="32"/>
              </w:rPr>
              <w:t>57,2</w:t>
            </w:r>
          </w:p>
        </w:tc>
      </w:tr>
    </w:tbl>
    <w:p w:rsidR="00733B13" w:rsidRPr="00733B13" w:rsidRDefault="00733B13" w:rsidP="00733B13">
      <w:pPr>
        <w:ind w:firstLine="0"/>
        <w:rPr>
          <w:sz w:val="32"/>
          <w:szCs w:val="32"/>
        </w:rPr>
      </w:pPr>
    </w:p>
    <w:p w:rsidR="00733B13" w:rsidRPr="00733B13" w:rsidRDefault="00733B13" w:rsidP="00733B13">
      <w:pPr>
        <w:ind w:firstLine="0"/>
        <w:rPr>
          <w:sz w:val="32"/>
          <w:szCs w:val="32"/>
        </w:rPr>
      </w:pPr>
      <w:r w:rsidRPr="00733B13">
        <w:rPr>
          <w:sz w:val="32"/>
          <w:szCs w:val="32"/>
        </w:rPr>
        <w:t xml:space="preserve">     </w:t>
      </w:r>
    </w:p>
    <w:p w:rsidR="00733B13" w:rsidRPr="00733B13" w:rsidRDefault="00733B13" w:rsidP="00733B13">
      <w:pPr>
        <w:contextualSpacing/>
        <w:rPr>
          <w:sz w:val="32"/>
          <w:szCs w:val="32"/>
        </w:rPr>
      </w:pPr>
      <w:r w:rsidRPr="00733B13">
        <w:rPr>
          <w:sz w:val="32"/>
          <w:szCs w:val="32"/>
        </w:rPr>
        <w:t>С отличием закончили школу и награждены медалью «За особые успехи в учении» 4 выпускника, что составляет 18,1% от общего количества выпускников.</w:t>
      </w:r>
    </w:p>
    <w:p w:rsidR="00733B13" w:rsidRPr="00733B13" w:rsidRDefault="00733B13" w:rsidP="00733B13">
      <w:pPr>
        <w:ind w:firstLine="708"/>
        <w:rPr>
          <w:sz w:val="32"/>
          <w:szCs w:val="32"/>
        </w:rPr>
      </w:pPr>
      <w:r w:rsidRPr="00733B13">
        <w:rPr>
          <w:sz w:val="32"/>
          <w:szCs w:val="32"/>
        </w:rPr>
        <w:t>Показатели эффективности работы:</w:t>
      </w:r>
    </w:p>
    <w:p w:rsidR="00733B13" w:rsidRPr="00733B13" w:rsidRDefault="00733B13" w:rsidP="00733B13">
      <w:pPr>
        <w:ind w:firstLine="708"/>
        <w:rPr>
          <w:sz w:val="32"/>
          <w:szCs w:val="32"/>
        </w:rPr>
      </w:pPr>
      <w:r w:rsidRPr="00733B13">
        <w:rPr>
          <w:sz w:val="32"/>
          <w:szCs w:val="32"/>
        </w:rPr>
        <w:t>отсутствие участников ГИА, не перешагнувших минимальный порог баллов для получения аттестата;</w:t>
      </w:r>
    </w:p>
    <w:p w:rsidR="00733B13" w:rsidRPr="00733B13" w:rsidRDefault="00733B13" w:rsidP="00733B13">
      <w:pPr>
        <w:ind w:firstLine="708"/>
        <w:rPr>
          <w:sz w:val="32"/>
          <w:szCs w:val="32"/>
        </w:rPr>
      </w:pPr>
      <w:r w:rsidRPr="00733B13">
        <w:rPr>
          <w:sz w:val="32"/>
          <w:szCs w:val="32"/>
        </w:rPr>
        <w:t>рост численности высокобалльников, набравших по результатам ЕГЭ более 80 баллов, - русский язык, химия, обществознание, история.</w:t>
      </w:r>
    </w:p>
    <w:p w:rsidR="00733B13" w:rsidRPr="00733B13" w:rsidRDefault="00733B13" w:rsidP="00733B13">
      <w:pPr>
        <w:ind w:firstLine="708"/>
        <w:rPr>
          <w:sz w:val="32"/>
          <w:szCs w:val="32"/>
        </w:rPr>
      </w:pPr>
      <w:r w:rsidRPr="00733B13">
        <w:rPr>
          <w:sz w:val="32"/>
          <w:szCs w:val="32"/>
        </w:rPr>
        <w:lastRenderedPageBreak/>
        <w:t>Данные результаты свидетельствуют о повышении уровня деятельности педагогических коллективов общеобразовательных организаций по реализации образовательных программ элективных курсов и курсов по выбору и об осознанности выбора дальнейшей образовательной траектории большинством выпускников средней школы.</w:t>
      </w:r>
    </w:p>
    <w:p w:rsidR="00733B13" w:rsidRPr="00733B13" w:rsidRDefault="00733B13" w:rsidP="00733B13">
      <w:pPr>
        <w:tabs>
          <w:tab w:val="left" w:pos="0"/>
        </w:tabs>
        <w:ind w:firstLine="0"/>
        <w:rPr>
          <w:sz w:val="32"/>
          <w:szCs w:val="32"/>
        </w:rPr>
      </w:pPr>
      <w:r w:rsidRPr="00733B13">
        <w:rPr>
          <w:sz w:val="32"/>
          <w:szCs w:val="32"/>
        </w:rPr>
        <w:t xml:space="preserve">      К сожалению, 2 претендента на медали не смогли подтвердить право на их получение в ходе экзаменов. Одна из причин – необъективный подход педагогов и завышение оценок и достижений ученика в процессе его обучения. Нередко отметки, выставляемые учителями в течение учебных лет, и результаты внешних оценочных процедур значительно расходятся, и надежды выпускников на высокие баллы не оправдываются. </w:t>
      </w:r>
    </w:p>
    <w:p w:rsidR="00733B13" w:rsidRPr="00733B13" w:rsidRDefault="00733B13" w:rsidP="00733B13">
      <w:pPr>
        <w:ind w:firstLine="708"/>
        <w:rPr>
          <w:sz w:val="32"/>
          <w:szCs w:val="32"/>
        </w:rPr>
      </w:pPr>
      <w:r w:rsidRPr="00733B13">
        <w:rPr>
          <w:sz w:val="32"/>
          <w:szCs w:val="32"/>
        </w:rPr>
        <w:t>Для повышения результативности учащихся педагогические работники Вадинского района принимают участие в областных семинарах, краткосрочных курсах повышения квалификации «Актуальные вопросы подготовки обучающихся к прохождению ГИА, ЕГЭ», организованные институтом регионального развития образования Пензенской области и педагогическим институтом им. В.Г. Белинского.</w:t>
      </w:r>
    </w:p>
    <w:p w:rsidR="00733B13" w:rsidRPr="00733B13" w:rsidRDefault="00733B13" w:rsidP="00733B13">
      <w:pPr>
        <w:ind w:firstLine="708"/>
        <w:rPr>
          <w:sz w:val="32"/>
          <w:szCs w:val="32"/>
        </w:rPr>
      </w:pPr>
      <w:r w:rsidRPr="00733B13">
        <w:rPr>
          <w:sz w:val="32"/>
          <w:szCs w:val="32"/>
        </w:rPr>
        <w:t>В 2019-2020 учебном продолжена системная работа по повышению уровня квалификации педагогических работников, в том числе по подготовке к ЕГЭ и ОГЭ.</w:t>
      </w:r>
    </w:p>
    <w:p w:rsidR="00733B13" w:rsidRPr="00733B13" w:rsidRDefault="00733B13" w:rsidP="00733B13">
      <w:pPr>
        <w:pStyle w:val="a3"/>
        <w:shd w:val="clear" w:color="auto" w:fill="FFFFFF"/>
        <w:spacing w:before="0" w:beforeAutospacing="0" w:after="0" w:afterAutospacing="0"/>
        <w:jc w:val="both"/>
        <w:rPr>
          <w:rFonts w:ascii="clear_sans_lightregular" w:hAnsi="clear_sans_lightregular"/>
          <w:sz w:val="32"/>
          <w:szCs w:val="32"/>
        </w:rPr>
      </w:pPr>
      <w:r w:rsidRPr="00733B13">
        <w:rPr>
          <w:sz w:val="32"/>
          <w:szCs w:val="32"/>
        </w:rPr>
        <w:t xml:space="preserve">         </w:t>
      </w:r>
      <w:r w:rsidRPr="00733B13">
        <w:rPr>
          <w:rFonts w:ascii="clear_sans_lightregular" w:hAnsi="clear_sans_lightregular"/>
          <w:sz w:val="32"/>
          <w:szCs w:val="32"/>
        </w:rPr>
        <w:t>27 марта в Вадинске на базе средней общеобразовательной организации организовало проведение областного семинара педагогических работников Вадинского, Земетчинского, Спасского, Нижнеломовского, Башмаковского районов на тему «Организация подготовки обучающихся к ГИА».</w:t>
      </w:r>
    </w:p>
    <w:p w:rsidR="00733B13" w:rsidRPr="00733B13" w:rsidRDefault="00733B13" w:rsidP="00733B13">
      <w:pPr>
        <w:pStyle w:val="a3"/>
        <w:shd w:val="clear" w:color="auto" w:fill="FFFFFF"/>
        <w:spacing w:before="152" w:beforeAutospacing="0" w:after="0" w:afterAutospacing="0"/>
        <w:jc w:val="both"/>
        <w:rPr>
          <w:rFonts w:ascii="clear_sans_lightregular" w:hAnsi="clear_sans_lightregular"/>
          <w:sz w:val="32"/>
          <w:szCs w:val="32"/>
        </w:rPr>
      </w:pPr>
      <w:r w:rsidRPr="00733B13">
        <w:rPr>
          <w:rFonts w:ascii="clear_sans_lightregular" w:hAnsi="clear_sans_lightregular"/>
          <w:sz w:val="32"/>
          <w:szCs w:val="32"/>
        </w:rPr>
        <w:t>В семинаре приняли участие 73 человека: учителя русского языка и литературы, истории и обществознания, заместители директоров школ по учебно-воспитательной работе и участники проекта «Равенство образовательных возможностей».</w:t>
      </w:r>
    </w:p>
    <w:p w:rsidR="00733B13" w:rsidRPr="00733B13" w:rsidRDefault="00733B13" w:rsidP="00733B13">
      <w:pPr>
        <w:pStyle w:val="a3"/>
        <w:shd w:val="clear" w:color="auto" w:fill="FFFFFF"/>
        <w:spacing w:before="152" w:beforeAutospacing="0" w:after="0" w:afterAutospacing="0"/>
        <w:jc w:val="both"/>
        <w:rPr>
          <w:rFonts w:ascii="clear_sans_lightregular" w:hAnsi="clear_sans_lightregular"/>
          <w:sz w:val="32"/>
          <w:szCs w:val="32"/>
        </w:rPr>
      </w:pPr>
      <w:r w:rsidRPr="00733B13">
        <w:rPr>
          <w:rFonts w:ascii="clear_sans_lightregular" w:hAnsi="clear_sans_lightregular"/>
          <w:sz w:val="32"/>
          <w:szCs w:val="32"/>
        </w:rPr>
        <w:t>Тематика рассматриваемых вопросов включала: </w:t>
      </w:r>
      <w:r w:rsidRPr="00733B13">
        <w:rPr>
          <w:rFonts w:ascii="clear_sans_lightregular" w:hAnsi="clear_sans_lightregular"/>
          <w:sz w:val="32"/>
          <w:szCs w:val="32"/>
        </w:rPr>
        <w:br/>
        <w:t>- Современные подходы к управлению качеством образования. Планирование работы школьных методических объединений (Вера Красовская, старший методист Центра содержания образования).</w:t>
      </w:r>
    </w:p>
    <w:p w:rsidR="00733B13" w:rsidRPr="00733B13" w:rsidRDefault="00733B13" w:rsidP="00733B13">
      <w:pPr>
        <w:pStyle w:val="a3"/>
        <w:shd w:val="clear" w:color="auto" w:fill="FFFFFF"/>
        <w:spacing w:before="152" w:beforeAutospacing="0" w:after="0" w:afterAutospacing="0"/>
        <w:jc w:val="both"/>
        <w:rPr>
          <w:rFonts w:ascii="clear_sans_lightregular" w:hAnsi="clear_sans_lightregular"/>
          <w:sz w:val="32"/>
          <w:szCs w:val="32"/>
        </w:rPr>
      </w:pPr>
      <w:r w:rsidRPr="00733B13">
        <w:rPr>
          <w:rFonts w:ascii="clear_sans_lightregular" w:hAnsi="clear_sans_lightregular"/>
          <w:sz w:val="32"/>
          <w:szCs w:val="32"/>
        </w:rPr>
        <w:t>- Подготовка к ГИА по русскому языку и литературе (Ирина Московкина, старший методист Центра гуманитарного образования).</w:t>
      </w:r>
    </w:p>
    <w:p w:rsidR="00733B13" w:rsidRPr="00733B13" w:rsidRDefault="00733B13" w:rsidP="00733B13">
      <w:pPr>
        <w:pStyle w:val="a3"/>
        <w:shd w:val="clear" w:color="auto" w:fill="FFFFFF"/>
        <w:spacing w:before="152" w:beforeAutospacing="0" w:after="0" w:afterAutospacing="0"/>
        <w:jc w:val="both"/>
        <w:rPr>
          <w:rFonts w:ascii="clear_sans_lightregular" w:hAnsi="clear_sans_lightregular"/>
          <w:sz w:val="32"/>
          <w:szCs w:val="32"/>
        </w:rPr>
      </w:pPr>
      <w:r w:rsidRPr="00733B13">
        <w:rPr>
          <w:rFonts w:ascii="clear_sans_lightregular" w:hAnsi="clear_sans_lightregular"/>
          <w:sz w:val="32"/>
          <w:szCs w:val="32"/>
        </w:rPr>
        <w:lastRenderedPageBreak/>
        <w:t>- Подготовка к ГИА по истории и обществознанию (Елена Фирсова, директор Центра гуманитарного образования).</w:t>
      </w:r>
    </w:p>
    <w:p w:rsidR="00733B13" w:rsidRPr="00733B13" w:rsidRDefault="00733B13" w:rsidP="00733B13">
      <w:pPr>
        <w:pStyle w:val="a3"/>
        <w:shd w:val="clear" w:color="auto" w:fill="FFFFFF"/>
        <w:spacing w:before="152" w:beforeAutospacing="0" w:after="0" w:afterAutospacing="0"/>
        <w:jc w:val="both"/>
        <w:rPr>
          <w:rFonts w:ascii="clear_sans_lightregular" w:hAnsi="clear_sans_lightregular"/>
          <w:sz w:val="32"/>
          <w:szCs w:val="32"/>
        </w:rPr>
      </w:pPr>
      <w:r w:rsidRPr="00733B13">
        <w:rPr>
          <w:rFonts w:ascii="clear_sans_lightregular" w:hAnsi="clear_sans_lightregular"/>
          <w:sz w:val="32"/>
          <w:szCs w:val="32"/>
        </w:rPr>
        <w:t>- Организация внеурочной деятельности. Современные требования к содержанию программ (Вера Загорнова, старший методист Центра содержания образования).</w:t>
      </w:r>
    </w:p>
    <w:p w:rsidR="00733B13" w:rsidRPr="00733B13" w:rsidRDefault="00733B13" w:rsidP="00733B13">
      <w:pPr>
        <w:pStyle w:val="a3"/>
        <w:shd w:val="clear" w:color="auto" w:fill="FFFFFF"/>
        <w:spacing w:before="152" w:beforeAutospacing="0" w:after="0" w:afterAutospacing="0"/>
        <w:jc w:val="both"/>
        <w:rPr>
          <w:rFonts w:ascii="clear_sans_lightregular" w:hAnsi="clear_sans_lightregular"/>
          <w:sz w:val="32"/>
          <w:szCs w:val="32"/>
        </w:rPr>
      </w:pPr>
      <w:r w:rsidRPr="00733B13">
        <w:rPr>
          <w:rFonts w:ascii="clear_sans_lightregular" w:hAnsi="clear_sans_lightregular"/>
          <w:sz w:val="32"/>
          <w:szCs w:val="32"/>
        </w:rPr>
        <w:t>Было отмечено, что приоритетной задачей методической работы является качество образовательного процесса, которое тесно связано с повышением уровня профессиональных компетенций учителей.</w:t>
      </w:r>
    </w:p>
    <w:p w:rsidR="00733B13" w:rsidRPr="00733B13" w:rsidRDefault="00733B13" w:rsidP="00733B13">
      <w:pPr>
        <w:pStyle w:val="a3"/>
        <w:shd w:val="clear" w:color="auto" w:fill="FFFFFF"/>
        <w:spacing w:before="152" w:beforeAutospacing="0" w:after="0" w:afterAutospacing="0"/>
        <w:jc w:val="both"/>
        <w:rPr>
          <w:rFonts w:ascii="clear_sans_lightregular" w:hAnsi="clear_sans_lightregular"/>
          <w:sz w:val="32"/>
          <w:szCs w:val="32"/>
        </w:rPr>
      </w:pPr>
      <w:r w:rsidRPr="00733B13">
        <w:rPr>
          <w:rFonts w:ascii="clear_sans_lightregular" w:hAnsi="clear_sans_lightregular"/>
          <w:sz w:val="32"/>
          <w:szCs w:val="32"/>
        </w:rPr>
        <w:t>В практической части семинара были даны методические рекомендации по планированию и содержанию работы методических предметных объединений учителей.</w:t>
      </w:r>
    </w:p>
    <w:p w:rsidR="00733B13" w:rsidRPr="00733B13" w:rsidRDefault="00733B13" w:rsidP="00733B13">
      <w:pPr>
        <w:ind w:firstLine="708"/>
        <w:rPr>
          <w:sz w:val="32"/>
          <w:szCs w:val="32"/>
        </w:rPr>
      </w:pPr>
    </w:p>
    <w:p w:rsidR="007057AC" w:rsidRPr="00733B13" w:rsidRDefault="007057AC">
      <w:pPr>
        <w:rPr>
          <w:sz w:val="32"/>
          <w:szCs w:val="32"/>
        </w:rPr>
      </w:pPr>
    </w:p>
    <w:sectPr w:rsidR="007057AC" w:rsidRPr="00733B13" w:rsidSect="00733B13">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lear_sans_light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733B13"/>
    <w:rsid w:val="00262820"/>
    <w:rsid w:val="00695447"/>
    <w:rsid w:val="007057AC"/>
    <w:rsid w:val="00733B13"/>
    <w:rsid w:val="00874F18"/>
    <w:rsid w:val="008B7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B13"/>
    <w:pPr>
      <w:spacing w:after="0" w:line="240" w:lineRule="auto"/>
      <w:ind w:firstLine="397"/>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33B13"/>
    <w:pPr>
      <w:spacing w:before="100" w:beforeAutospacing="1" w:after="100" w:afterAutospacing="1"/>
      <w:ind w:firstLine="0"/>
      <w:jc w:val="left"/>
    </w:pPr>
    <w:rPr>
      <w:sz w:val="24"/>
      <w:szCs w:val="24"/>
    </w:rPr>
  </w:style>
  <w:style w:type="paragraph" w:styleId="a4">
    <w:name w:val="List Paragraph"/>
    <w:basedOn w:val="a"/>
    <w:uiPriority w:val="34"/>
    <w:qFormat/>
    <w:rsid w:val="00733B13"/>
    <w:pPr>
      <w:spacing w:after="200" w:line="276" w:lineRule="auto"/>
      <w:ind w:left="720" w:firstLine="0"/>
      <w:contextualSpacing/>
      <w:jc w:val="left"/>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3567</Characters>
  <Application>Microsoft Office Word</Application>
  <DocSecurity>0</DocSecurity>
  <Lines>29</Lines>
  <Paragraphs>8</Paragraphs>
  <ScaleCrop>false</ScaleCrop>
  <Company>Reanimator Extreme Edition</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ТВ</cp:lastModifiedBy>
  <cp:revision>2</cp:revision>
  <dcterms:created xsi:type="dcterms:W3CDTF">2021-01-22T10:48:00Z</dcterms:created>
  <dcterms:modified xsi:type="dcterms:W3CDTF">2021-01-22T10:48:00Z</dcterms:modified>
</cp:coreProperties>
</file>