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58" w:rsidRDefault="00916758" w:rsidP="00916758">
      <w:pPr>
        <w:spacing w:after="0" w:line="240" w:lineRule="auto"/>
        <w:jc w:val="center"/>
        <w:rPr>
          <w:rFonts w:ascii="Times New Roman" w:hAnsi="Times New Roman" w:cs="Times New Roman"/>
          <w:b/>
          <w:sz w:val="24"/>
          <w:szCs w:val="24"/>
        </w:rPr>
      </w:pPr>
      <w:r w:rsidRPr="00294706">
        <w:rPr>
          <w:rFonts w:ascii="Times New Roman" w:hAnsi="Times New Roman" w:cs="Times New Roman"/>
          <w:b/>
          <w:sz w:val="24"/>
          <w:szCs w:val="24"/>
        </w:rPr>
        <w:t xml:space="preserve">АНАЛИЗ РАБОТЫ </w:t>
      </w:r>
      <w:r>
        <w:rPr>
          <w:rFonts w:ascii="Times New Roman" w:hAnsi="Times New Roman" w:cs="Times New Roman"/>
          <w:b/>
          <w:sz w:val="24"/>
          <w:szCs w:val="24"/>
        </w:rPr>
        <w:t>Р</w:t>
      </w:r>
      <w:r w:rsidRPr="00294706">
        <w:rPr>
          <w:rFonts w:ascii="Times New Roman" w:hAnsi="Times New Roman" w:cs="Times New Roman"/>
          <w:b/>
          <w:sz w:val="24"/>
          <w:szCs w:val="24"/>
        </w:rPr>
        <w:t xml:space="preserve">МО </w:t>
      </w:r>
    </w:p>
    <w:p w:rsidR="00916758" w:rsidRDefault="00916758" w:rsidP="00916758">
      <w:pPr>
        <w:spacing w:after="0" w:line="240" w:lineRule="auto"/>
        <w:jc w:val="center"/>
        <w:rPr>
          <w:rFonts w:ascii="Times New Roman" w:hAnsi="Times New Roman" w:cs="Times New Roman"/>
          <w:b/>
          <w:sz w:val="24"/>
          <w:szCs w:val="24"/>
        </w:rPr>
      </w:pPr>
      <w:r w:rsidRPr="00294706">
        <w:rPr>
          <w:rFonts w:ascii="Times New Roman" w:hAnsi="Times New Roman" w:cs="Times New Roman"/>
          <w:b/>
          <w:sz w:val="24"/>
          <w:szCs w:val="24"/>
        </w:rPr>
        <w:t xml:space="preserve">учителей  </w:t>
      </w:r>
      <w:r>
        <w:rPr>
          <w:rFonts w:ascii="Times New Roman" w:hAnsi="Times New Roman" w:cs="Times New Roman"/>
          <w:b/>
          <w:sz w:val="24"/>
          <w:szCs w:val="24"/>
        </w:rPr>
        <w:t xml:space="preserve">русского языка и литературы </w:t>
      </w:r>
      <w:proofErr w:type="spellStart"/>
      <w:r>
        <w:rPr>
          <w:rFonts w:ascii="Times New Roman" w:hAnsi="Times New Roman" w:cs="Times New Roman"/>
          <w:b/>
          <w:sz w:val="24"/>
          <w:szCs w:val="24"/>
        </w:rPr>
        <w:t>Вадинского</w:t>
      </w:r>
      <w:proofErr w:type="spellEnd"/>
      <w:r>
        <w:rPr>
          <w:rFonts w:ascii="Times New Roman" w:hAnsi="Times New Roman" w:cs="Times New Roman"/>
          <w:b/>
          <w:sz w:val="24"/>
          <w:szCs w:val="24"/>
        </w:rPr>
        <w:t xml:space="preserve"> района</w:t>
      </w:r>
      <w:r w:rsidRPr="00294706">
        <w:rPr>
          <w:rFonts w:ascii="Times New Roman" w:hAnsi="Times New Roman" w:cs="Times New Roman"/>
          <w:b/>
          <w:sz w:val="24"/>
          <w:szCs w:val="24"/>
        </w:rPr>
        <w:t xml:space="preserve"> </w:t>
      </w:r>
    </w:p>
    <w:p w:rsidR="00916758" w:rsidRPr="00294706" w:rsidRDefault="00916758" w:rsidP="00916758">
      <w:pPr>
        <w:spacing w:after="0" w:line="240" w:lineRule="auto"/>
        <w:jc w:val="center"/>
        <w:rPr>
          <w:rFonts w:ascii="Times New Roman" w:hAnsi="Times New Roman" w:cs="Times New Roman"/>
          <w:b/>
          <w:sz w:val="24"/>
          <w:szCs w:val="24"/>
        </w:rPr>
      </w:pPr>
      <w:r w:rsidRPr="00294706">
        <w:rPr>
          <w:rFonts w:ascii="Times New Roman" w:hAnsi="Times New Roman" w:cs="Times New Roman"/>
          <w:b/>
          <w:sz w:val="24"/>
          <w:szCs w:val="24"/>
        </w:rPr>
        <w:t xml:space="preserve"> за 2017/2018 и 2018/2019 учебный год.</w:t>
      </w:r>
    </w:p>
    <w:p w:rsidR="00916758" w:rsidRPr="00294706" w:rsidRDefault="00916758" w:rsidP="00916758">
      <w:pPr>
        <w:spacing w:after="0" w:line="240" w:lineRule="auto"/>
        <w:ind w:firstLine="709"/>
        <w:jc w:val="both"/>
        <w:rPr>
          <w:rFonts w:ascii="Times New Roman" w:hAnsi="Times New Roman" w:cs="Times New Roman"/>
          <w:sz w:val="24"/>
          <w:szCs w:val="24"/>
        </w:rPr>
      </w:pPr>
    </w:p>
    <w:p w:rsidR="00916758" w:rsidRPr="00294706" w:rsidRDefault="00916758" w:rsidP="00916758">
      <w:pPr>
        <w:spacing w:after="0" w:line="240" w:lineRule="auto"/>
        <w:ind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Цель анализа: выявить степень реализации поставленных перед членами МО задач; наметить план работы МО на новый учебный год. </w:t>
      </w:r>
    </w:p>
    <w:p w:rsidR="00916758" w:rsidRPr="00294706" w:rsidRDefault="00916758" w:rsidP="00916758">
      <w:pPr>
        <w:spacing w:after="0" w:line="240" w:lineRule="auto"/>
        <w:ind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Предмет анализа: учебная и методическая работа членов МО. 1. Общая оценка работы по выполнению задач, поставленных перед МО. </w:t>
      </w:r>
    </w:p>
    <w:p w:rsidR="00916758" w:rsidRPr="00294706" w:rsidRDefault="00916758" w:rsidP="00916758">
      <w:pPr>
        <w:spacing w:after="0" w:line="240" w:lineRule="auto"/>
        <w:ind w:firstLine="709"/>
        <w:jc w:val="both"/>
        <w:rPr>
          <w:rFonts w:ascii="Times New Roman" w:hAnsi="Times New Roman" w:cs="Times New Roman"/>
          <w:sz w:val="24"/>
          <w:szCs w:val="24"/>
        </w:rPr>
      </w:pPr>
      <w:r w:rsidRPr="00294706">
        <w:rPr>
          <w:rFonts w:ascii="Times New Roman" w:hAnsi="Times New Roman" w:cs="Times New Roman"/>
          <w:sz w:val="24"/>
          <w:szCs w:val="24"/>
        </w:rPr>
        <w:t>Деятельность МО в 2017/2018 и 2018/2019  учебных годах строилась в соответствии с планом работы МО, методической темой МО, отражая работу по реализации задач на 2017/2018 и 2018/2019  учебные годы. В основном поставленные перед МО задачи были реализованы. Как показала работа, члены МО приложили максимум усилий для реализации поставленных целей и задач.</w:t>
      </w:r>
    </w:p>
    <w:p w:rsidR="00916758" w:rsidRPr="00294706" w:rsidRDefault="00916758" w:rsidP="00916758">
      <w:pPr>
        <w:spacing w:after="0" w:line="240" w:lineRule="auto"/>
        <w:ind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 Деятельность учителей и учащихся была достаточно активной, разнообразной и эффективной. Это - работа по подготовке к конкурсам, олимпиадам. Для развития способностей учащихся широко использовались в работе внеклассные мероприятия и индивидуальные занятия.</w:t>
      </w:r>
    </w:p>
    <w:p w:rsidR="00916758" w:rsidRPr="00294706" w:rsidRDefault="00916758" w:rsidP="00916758">
      <w:pPr>
        <w:spacing w:after="0" w:line="240" w:lineRule="auto"/>
        <w:ind w:firstLine="709"/>
        <w:jc w:val="both"/>
        <w:rPr>
          <w:rFonts w:ascii="Times New Roman" w:hAnsi="Times New Roman" w:cs="Times New Roman"/>
          <w:sz w:val="24"/>
          <w:szCs w:val="24"/>
        </w:rPr>
      </w:pPr>
      <w:proofErr w:type="gramStart"/>
      <w:r w:rsidRPr="00294706">
        <w:rPr>
          <w:rFonts w:ascii="Times New Roman" w:hAnsi="Times New Roman" w:cs="Times New Roman"/>
          <w:sz w:val="24"/>
          <w:szCs w:val="24"/>
        </w:rPr>
        <w:t>В соответствии с поставленными задачами методическая работа МО гуманитарного цикла была направлена на совершенствование педагогической компетенции учителей через самообразование,</w:t>
      </w:r>
      <w:bookmarkStart w:id="0" w:name="_GoBack"/>
      <w:bookmarkEnd w:id="0"/>
      <w:r w:rsidRPr="00294706">
        <w:rPr>
          <w:rFonts w:ascii="Times New Roman" w:hAnsi="Times New Roman" w:cs="Times New Roman"/>
          <w:sz w:val="24"/>
          <w:szCs w:val="24"/>
        </w:rPr>
        <w:t xml:space="preserve"> участие в работе творческих мастерских, использование информационных технологий, внедрение дистанционных методов обучения по внедрению ФГОС,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 </w:t>
      </w:r>
      <w:proofErr w:type="gramEnd"/>
    </w:p>
    <w:p w:rsidR="00916758" w:rsidRPr="00294706" w:rsidRDefault="00916758" w:rsidP="00916758">
      <w:pPr>
        <w:spacing w:after="0" w:line="240" w:lineRule="auto"/>
        <w:ind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Учителями апробированы следующие методики использования новых технологий на уроках: защита проектов, подготовка презентации по теме урока, еѐ защита. В соответствии с планом учителя-предметники посещают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 </w:t>
      </w:r>
    </w:p>
    <w:p w:rsidR="00916758" w:rsidRPr="00294706" w:rsidRDefault="00916758" w:rsidP="00916758">
      <w:pPr>
        <w:spacing w:after="0" w:line="240" w:lineRule="auto"/>
        <w:ind w:firstLine="709"/>
        <w:jc w:val="both"/>
        <w:rPr>
          <w:rFonts w:ascii="Times New Roman" w:hAnsi="Times New Roman" w:cs="Times New Roman"/>
          <w:sz w:val="24"/>
          <w:szCs w:val="24"/>
        </w:rPr>
      </w:pPr>
      <w:r w:rsidRPr="00294706">
        <w:rPr>
          <w:rFonts w:ascii="Times New Roman" w:hAnsi="Times New Roman" w:cs="Times New Roman"/>
          <w:sz w:val="24"/>
          <w:szCs w:val="24"/>
        </w:rPr>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916758" w:rsidRPr="00294706" w:rsidRDefault="00916758" w:rsidP="00916758">
      <w:pPr>
        <w:spacing w:after="0" w:line="240" w:lineRule="auto"/>
        <w:ind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 Одним из важных аспектов в деятельности МО является изучение и анализ новых форм итоговой аттестации выпускников по русскому языку и литературе, 2. Состояние работы с педагогическими кадрами, ее результативность </w:t>
      </w:r>
    </w:p>
    <w:p w:rsidR="00916758" w:rsidRPr="00294706" w:rsidRDefault="00916758" w:rsidP="00916758">
      <w:pPr>
        <w:pStyle w:val="a3"/>
        <w:numPr>
          <w:ilvl w:val="0"/>
          <w:numId w:val="1"/>
        </w:numPr>
        <w:spacing w:after="0" w:line="240" w:lineRule="auto"/>
        <w:ind w:firstLine="709"/>
        <w:jc w:val="both"/>
        <w:rPr>
          <w:rFonts w:ascii="Times New Roman" w:hAnsi="Times New Roman" w:cs="Times New Roman"/>
          <w:b/>
          <w:sz w:val="24"/>
          <w:szCs w:val="24"/>
        </w:rPr>
      </w:pPr>
      <w:r w:rsidRPr="00294706">
        <w:rPr>
          <w:rFonts w:ascii="Times New Roman" w:hAnsi="Times New Roman" w:cs="Times New Roman"/>
          <w:b/>
          <w:sz w:val="24"/>
          <w:szCs w:val="24"/>
        </w:rPr>
        <w:t>Анализ педагогических кадров</w:t>
      </w:r>
    </w:p>
    <w:p w:rsidR="00916758" w:rsidRPr="00294706" w:rsidRDefault="00916758" w:rsidP="00916758">
      <w:pPr>
        <w:pStyle w:val="a3"/>
        <w:numPr>
          <w:ilvl w:val="0"/>
          <w:numId w:val="1"/>
        </w:numPr>
        <w:spacing w:after="0" w:line="240" w:lineRule="auto"/>
        <w:ind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.В </w:t>
      </w:r>
      <w:r>
        <w:rPr>
          <w:rFonts w:ascii="Times New Roman" w:hAnsi="Times New Roman" w:cs="Times New Roman"/>
          <w:sz w:val="24"/>
          <w:szCs w:val="24"/>
        </w:rPr>
        <w:t>2017-2018/2018-2019 учебных годах</w:t>
      </w:r>
      <w:r w:rsidRPr="00294706">
        <w:rPr>
          <w:rFonts w:ascii="Times New Roman" w:hAnsi="Times New Roman" w:cs="Times New Roman"/>
          <w:sz w:val="24"/>
          <w:szCs w:val="24"/>
        </w:rPr>
        <w:t xml:space="preserve"> в состав </w:t>
      </w:r>
      <w:r>
        <w:rPr>
          <w:rFonts w:ascii="Times New Roman" w:hAnsi="Times New Roman" w:cs="Times New Roman"/>
          <w:sz w:val="24"/>
          <w:szCs w:val="24"/>
        </w:rPr>
        <w:t>МО гуманитарного цикла входило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6</w:t>
      </w:r>
      <w:r w:rsidRPr="00294706">
        <w:rPr>
          <w:rFonts w:ascii="Times New Roman" w:hAnsi="Times New Roman" w:cs="Times New Roman"/>
          <w:sz w:val="24"/>
          <w:szCs w:val="24"/>
        </w:rPr>
        <w:t xml:space="preserve"> педагогов. </w:t>
      </w:r>
    </w:p>
    <w:p w:rsidR="00916758" w:rsidRPr="00294706" w:rsidRDefault="00916758" w:rsidP="00916758">
      <w:pPr>
        <w:pStyle w:val="a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Кол-во учителей 16</w:t>
      </w:r>
    </w:p>
    <w:p w:rsidR="00916758" w:rsidRPr="00294706" w:rsidRDefault="00916758" w:rsidP="00916758">
      <w:pPr>
        <w:pStyle w:val="a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Высшее образование15</w:t>
      </w:r>
    </w:p>
    <w:p w:rsidR="00916758" w:rsidRPr="00294706" w:rsidRDefault="00916758" w:rsidP="00916758">
      <w:pPr>
        <w:pStyle w:val="a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Молодых специалистов-1</w:t>
      </w:r>
    </w:p>
    <w:p w:rsidR="00916758" w:rsidRDefault="00916758" w:rsidP="00916758">
      <w:pPr>
        <w:pStyle w:val="a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Высшая категория-13</w:t>
      </w:r>
    </w:p>
    <w:p w:rsidR="00916758" w:rsidRPr="00294706" w:rsidRDefault="00916758" w:rsidP="00916758">
      <w:pPr>
        <w:pStyle w:val="a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категория-2</w:t>
      </w:r>
    </w:p>
    <w:p w:rsidR="00916758" w:rsidRDefault="00916758" w:rsidP="00916758">
      <w:pPr>
        <w:pStyle w:val="a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Без категории-1</w:t>
      </w:r>
    </w:p>
    <w:p w:rsidR="00916758" w:rsidRDefault="00916758" w:rsidP="00916758">
      <w:pPr>
        <w:pStyle w:val="a3"/>
        <w:spacing w:after="0" w:line="240" w:lineRule="auto"/>
        <w:ind w:firstLine="709"/>
        <w:jc w:val="both"/>
        <w:rPr>
          <w:rFonts w:ascii="Times New Roman" w:hAnsi="Times New Roman" w:cs="Times New Roman"/>
          <w:sz w:val="24"/>
          <w:szCs w:val="24"/>
        </w:rPr>
      </w:pPr>
    </w:p>
    <w:p w:rsidR="00916758" w:rsidRPr="00294706" w:rsidRDefault="00916758" w:rsidP="00916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706">
        <w:rPr>
          <w:rFonts w:ascii="Times New Roman" w:hAnsi="Times New Roman" w:cs="Times New Roman"/>
          <w:b/>
          <w:sz w:val="24"/>
          <w:szCs w:val="24"/>
        </w:rPr>
        <w:t xml:space="preserve">2. Анализ работы по учебно-методическому обеспечению образовательного </w:t>
      </w:r>
      <w:r>
        <w:rPr>
          <w:rFonts w:ascii="Times New Roman" w:hAnsi="Times New Roman" w:cs="Times New Roman"/>
          <w:b/>
          <w:sz w:val="24"/>
          <w:szCs w:val="24"/>
        </w:rPr>
        <w:t xml:space="preserve">   </w:t>
      </w:r>
      <w:r w:rsidRPr="00294706">
        <w:rPr>
          <w:rFonts w:ascii="Times New Roman" w:hAnsi="Times New Roman" w:cs="Times New Roman"/>
          <w:b/>
          <w:sz w:val="24"/>
          <w:szCs w:val="24"/>
        </w:rPr>
        <w:t>процесса по предмету</w:t>
      </w:r>
      <w:r w:rsidRPr="00294706">
        <w:rPr>
          <w:rFonts w:ascii="Times New Roman" w:hAnsi="Times New Roman" w:cs="Times New Roman"/>
          <w:sz w:val="24"/>
          <w:szCs w:val="24"/>
        </w:rPr>
        <w:t>.</w:t>
      </w:r>
    </w:p>
    <w:p w:rsidR="00916758" w:rsidRPr="00294706" w:rsidRDefault="00916758" w:rsidP="00916758">
      <w:pPr>
        <w:pStyle w:val="a3"/>
        <w:spacing w:after="0" w:line="240" w:lineRule="auto"/>
        <w:ind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 Каждый учитель-предметник в начале учебного года ознакомился с методическими рекомендациями, учебниками, примерными программами. Учителя – предметники в соответствии с выбранными УМК, рекомендованными Министерством образования РФ, составили рабочие программы. Все программы соответствуют обязательному минимуму содержания образования, предусмотрены региональный </w:t>
      </w:r>
      <w:r w:rsidRPr="00294706">
        <w:rPr>
          <w:rFonts w:ascii="Times New Roman" w:hAnsi="Times New Roman" w:cs="Times New Roman"/>
          <w:sz w:val="24"/>
          <w:szCs w:val="24"/>
        </w:rPr>
        <w:lastRenderedPageBreak/>
        <w:t xml:space="preserve">компонент, промежуточный и итоговый контроль знаний учащихся. Таким образом, все рабочие программы соответствовали всем нормам и </w:t>
      </w:r>
      <w:proofErr w:type="spellStart"/>
      <w:r w:rsidRPr="00294706">
        <w:rPr>
          <w:rFonts w:ascii="Times New Roman" w:hAnsi="Times New Roman" w:cs="Times New Roman"/>
          <w:sz w:val="24"/>
          <w:szCs w:val="24"/>
        </w:rPr>
        <w:t>требованиям</w:t>
      </w:r>
      <w:proofErr w:type="gramStart"/>
      <w:r w:rsidRPr="00294706">
        <w:rPr>
          <w:rFonts w:ascii="Times New Roman" w:hAnsi="Times New Roman" w:cs="Times New Roman"/>
          <w:sz w:val="24"/>
          <w:szCs w:val="24"/>
        </w:rPr>
        <w:t>.В</w:t>
      </w:r>
      <w:proofErr w:type="gramEnd"/>
      <w:r w:rsidRPr="00294706">
        <w:rPr>
          <w:rFonts w:ascii="Times New Roman" w:hAnsi="Times New Roman" w:cs="Times New Roman"/>
          <w:sz w:val="24"/>
          <w:szCs w:val="24"/>
        </w:rPr>
        <w:t>се</w:t>
      </w:r>
      <w:proofErr w:type="spellEnd"/>
      <w:r w:rsidRPr="00294706">
        <w:rPr>
          <w:rFonts w:ascii="Times New Roman" w:hAnsi="Times New Roman" w:cs="Times New Roman"/>
          <w:sz w:val="24"/>
          <w:szCs w:val="24"/>
        </w:rPr>
        <w:t xml:space="preserve"> программы были пройдены в полном объеме.</w:t>
      </w:r>
    </w:p>
    <w:p w:rsidR="00916758" w:rsidRPr="00294706" w:rsidRDefault="00916758" w:rsidP="00916758">
      <w:pPr>
        <w:spacing w:after="0" w:line="240" w:lineRule="auto"/>
        <w:ind w:left="360" w:firstLine="709"/>
        <w:jc w:val="both"/>
        <w:rPr>
          <w:rFonts w:ascii="Times New Roman" w:hAnsi="Times New Roman" w:cs="Times New Roman"/>
          <w:sz w:val="24"/>
          <w:szCs w:val="24"/>
        </w:rPr>
      </w:pP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b/>
          <w:sz w:val="24"/>
          <w:szCs w:val="24"/>
        </w:rPr>
        <w:t>3.Работа по созданию методической базы кабинетов</w:t>
      </w:r>
      <w:r w:rsidRPr="00294706">
        <w:rPr>
          <w:rFonts w:ascii="Times New Roman" w:hAnsi="Times New Roman" w:cs="Times New Roman"/>
          <w:sz w:val="24"/>
          <w:szCs w:val="24"/>
        </w:rPr>
        <w:t xml:space="preserve"> </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 Учителя МО работали над совершенствованием кабинетной системы. Широко использовались ТСО на уроках, продолжалось накопление и систематизация наглядного, дидактического и раздаточного материалов. Создано огромное количество печатного материала по предметам в форме контрольных, самостоятельных, тестовых работ, некоторые из них выполнены с использованием ИКТ в форме игр-презентаций. Создано большое количество презентаций к урокам. </w:t>
      </w:r>
      <w:proofErr w:type="gramStart"/>
      <w:r w:rsidRPr="00294706">
        <w:rPr>
          <w:rFonts w:ascii="Times New Roman" w:hAnsi="Times New Roman" w:cs="Times New Roman"/>
          <w:sz w:val="24"/>
          <w:szCs w:val="24"/>
        </w:rPr>
        <w:t>Во всех учебных кабинетах имеется необходимый материал для работы: дидактический материал, различные словари, иллюстративный материал, карточки для индивидуальной работы, словари (толковые, орфографические, лингвистические, фразеологические и др.), хрестоматии, справочники.</w:t>
      </w:r>
      <w:proofErr w:type="gramEnd"/>
      <w:r w:rsidRPr="00294706">
        <w:rPr>
          <w:rFonts w:ascii="Times New Roman" w:hAnsi="Times New Roman" w:cs="Times New Roman"/>
          <w:sz w:val="24"/>
          <w:szCs w:val="24"/>
        </w:rPr>
        <w:t xml:space="preserve"> Преподаватели занимаются разработкой учебных программ по предметам гуманитарного цикла для курсов по выбору. </w:t>
      </w:r>
    </w:p>
    <w:p w:rsidR="00916758" w:rsidRPr="00294706" w:rsidRDefault="00916758" w:rsidP="00916758">
      <w:pPr>
        <w:spacing w:after="0" w:line="240" w:lineRule="auto"/>
        <w:ind w:left="360" w:firstLine="709"/>
        <w:jc w:val="both"/>
        <w:rPr>
          <w:rFonts w:ascii="Times New Roman" w:hAnsi="Times New Roman" w:cs="Times New Roman"/>
          <w:sz w:val="24"/>
          <w:szCs w:val="24"/>
        </w:rPr>
      </w:pPr>
    </w:p>
    <w:p w:rsidR="00916758" w:rsidRPr="00294706" w:rsidRDefault="00916758" w:rsidP="00916758">
      <w:pPr>
        <w:spacing w:after="0" w:line="240" w:lineRule="auto"/>
        <w:ind w:left="360" w:firstLine="709"/>
        <w:jc w:val="both"/>
        <w:rPr>
          <w:rFonts w:ascii="Times New Roman" w:hAnsi="Times New Roman" w:cs="Times New Roman"/>
          <w:b/>
          <w:sz w:val="24"/>
          <w:szCs w:val="24"/>
        </w:rPr>
      </w:pPr>
      <w:r w:rsidRPr="00294706">
        <w:rPr>
          <w:rFonts w:ascii="Times New Roman" w:hAnsi="Times New Roman" w:cs="Times New Roman"/>
          <w:b/>
          <w:sz w:val="24"/>
          <w:szCs w:val="24"/>
        </w:rPr>
        <w:t>4. Анализ работы по повышению квалификации педагогов, аттестации.</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 Модернизация образования требует от каждого усилий и активного повышения квалификации. За прошедший учебный год курсы повышения квалификации прошли учителя русского языка и литературы. </w:t>
      </w:r>
      <w:proofErr w:type="gramStart"/>
      <w:r w:rsidRPr="00294706">
        <w:rPr>
          <w:rFonts w:ascii="Times New Roman" w:hAnsi="Times New Roman" w:cs="Times New Roman"/>
          <w:sz w:val="24"/>
          <w:szCs w:val="24"/>
        </w:rPr>
        <w:t>Методические разработки учителей-предметников находят отражение на страницах школьного сайта (. Опыт и разработки учителей нашли отражение в темах самообразования.</w:t>
      </w:r>
      <w:proofErr w:type="gramEnd"/>
      <w:r w:rsidRPr="00294706">
        <w:rPr>
          <w:rFonts w:ascii="Times New Roman" w:hAnsi="Times New Roman" w:cs="Times New Roman"/>
          <w:sz w:val="24"/>
          <w:szCs w:val="24"/>
        </w:rPr>
        <w:t xml:space="preserve"> На заседаниях МО каждый учитель согласно плану занятости отчитывался за проделанную работу.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Вывод: таким образом, анализируя итоги работы текущего года, можно сделать выводы, что учителя МО имели возможность для реализации подготовки и переподготовки педагогических кадров. Хотя педагогический состав учителей гуманитарного цикла достаточно опытный и квалифицированный, рекомендуется в рамках модернизации образования активно повышать квалификацию, пройти аттестацию. </w:t>
      </w:r>
    </w:p>
    <w:p w:rsidR="00916758" w:rsidRPr="00294706" w:rsidRDefault="00916758" w:rsidP="00916758">
      <w:pPr>
        <w:pStyle w:val="a3"/>
        <w:numPr>
          <w:ilvl w:val="0"/>
          <w:numId w:val="1"/>
        </w:numPr>
        <w:spacing w:after="0" w:line="240" w:lineRule="auto"/>
        <w:ind w:firstLine="709"/>
        <w:jc w:val="both"/>
        <w:rPr>
          <w:rFonts w:ascii="Times New Roman" w:hAnsi="Times New Roman" w:cs="Times New Roman"/>
          <w:sz w:val="24"/>
          <w:szCs w:val="24"/>
        </w:rPr>
      </w:pPr>
      <w:r w:rsidRPr="00294706">
        <w:rPr>
          <w:rFonts w:ascii="Times New Roman" w:hAnsi="Times New Roman" w:cs="Times New Roman"/>
          <w:b/>
          <w:sz w:val="24"/>
          <w:szCs w:val="24"/>
        </w:rPr>
        <w:t>Анализ тематики заседаний МО</w:t>
      </w:r>
      <w:r w:rsidRPr="00294706">
        <w:rPr>
          <w:rFonts w:ascii="Times New Roman" w:hAnsi="Times New Roman" w:cs="Times New Roman"/>
          <w:sz w:val="24"/>
          <w:szCs w:val="24"/>
        </w:rPr>
        <w:t xml:space="preserve">. </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За отчетный период было проведено 4 </w:t>
      </w:r>
      <w:proofErr w:type="gramStart"/>
      <w:r w:rsidRPr="00294706">
        <w:rPr>
          <w:rFonts w:ascii="Times New Roman" w:hAnsi="Times New Roman" w:cs="Times New Roman"/>
          <w:sz w:val="24"/>
          <w:szCs w:val="24"/>
        </w:rPr>
        <w:t>плановых</w:t>
      </w:r>
      <w:proofErr w:type="gramEnd"/>
      <w:r w:rsidRPr="00294706">
        <w:rPr>
          <w:rFonts w:ascii="Times New Roman" w:hAnsi="Times New Roman" w:cs="Times New Roman"/>
          <w:sz w:val="24"/>
          <w:szCs w:val="24"/>
        </w:rPr>
        <w:t xml:space="preserve"> заседания. Здесь, как правило, обсуждались методические рекомендации, программы, учебники согласно ФГОС, современные технологии, обобщались опыты педагогов, что играет положительную роль в повышении педагогического мастерства учителя. На методических объединениях поднимались следующие вопросы: 1. Обсуждение и утверждение плана работы МО на новый учебный год; утверждение рабочих программ учителей 2. Проведение предметной декады, проведение внеклассной работы по предмету. 3. Система работы с одаренными учащимися: подготовка к проведению школьного и муниципального туров олимпиад, участие в областных олимпиадах, интеллектуальных играх и марафонах. 4. Подготовка экзаменационного материала. Подготовка к </w:t>
      </w:r>
      <w:proofErr w:type="gramStart"/>
      <w:r w:rsidRPr="00294706">
        <w:rPr>
          <w:rFonts w:ascii="Times New Roman" w:hAnsi="Times New Roman" w:cs="Times New Roman"/>
          <w:sz w:val="24"/>
          <w:szCs w:val="24"/>
        </w:rPr>
        <w:t>предстоящему</w:t>
      </w:r>
      <w:proofErr w:type="gramEnd"/>
      <w:r w:rsidRPr="00294706">
        <w:rPr>
          <w:rFonts w:ascii="Times New Roman" w:hAnsi="Times New Roman" w:cs="Times New Roman"/>
          <w:sz w:val="24"/>
          <w:szCs w:val="24"/>
        </w:rPr>
        <w:t xml:space="preserve"> ГИА. 5. Методика создания систематизации дидактического материала </w:t>
      </w:r>
      <w:proofErr w:type="spellStart"/>
      <w:r w:rsidRPr="00294706">
        <w:rPr>
          <w:rFonts w:ascii="Times New Roman" w:hAnsi="Times New Roman" w:cs="Times New Roman"/>
          <w:sz w:val="24"/>
          <w:szCs w:val="24"/>
        </w:rPr>
        <w:t>уровнего</w:t>
      </w:r>
      <w:proofErr w:type="spellEnd"/>
      <w:r w:rsidRPr="00294706">
        <w:rPr>
          <w:rFonts w:ascii="Times New Roman" w:hAnsi="Times New Roman" w:cs="Times New Roman"/>
          <w:sz w:val="24"/>
          <w:szCs w:val="24"/>
        </w:rPr>
        <w:t xml:space="preserve"> контроля (тесты). 6. Система мер по предупреждению неуспеваемости и пробелов в знаниях учащихся, организация работы с отстающими учащимися. 7. Использование новых технологий на уроках. Изучение современных тенденций и возможность внедрения. 8. Обсуждение требований к ведению тетрадей, прочей документации 8.  Изучение и распространение педагогического опыта 9. Анализ МО за год</w:t>
      </w:r>
    </w:p>
    <w:p w:rsidR="00916758" w:rsidRPr="00294706" w:rsidRDefault="00916758" w:rsidP="00916758">
      <w:pPr>
        <w:spacing w:after="0" w:line="240" w:lineRule="auto"/>
        <w:ind w:left="360" w:firstLine="709"/>
        <w:jc w:val="both"/>
        <w:rPr>
          <w:rFonts w:ascii="Times New Roman" w:hAnsi="Times New Roman" w:cs="Times New Roman"/>
          <w:sz w:val="24"/>
          <w:szCs w:val="24"/>
        </w:rPr>
      </w:pPr>
      <w:proofErr w:type="gramStart"/>
      <w:r w:rsidRPr="00294706">
        <w:rPr>
          <w:rFonts w:ascii="Times New Roman" w:hAnsi="Times New Roman" w:cs="Times New Roman"/>
          <w:b/>
          <w:sz w:val="24"/>
          <w:szCs w:val="24"/>
        </w:rPr>
        <w:t>7 Вывод</w:t>
      </w:r>
      <w:r w:rsidRPr="00294706">
        <w:rPr>
          <w:rFonts w:ascii="Times New Roman" w:hAnsi="Times New Roman" w:cs="Times New Roman"/>
          <w:sz w:val="24"/>
          <w:szCs w:val="24"/>
        </w:rPr>
        <w:t xml:space="preserve">: вынесенные вопросы на заседаниях МО соответствовали цели и позволили в полном объѐме решить поставленные задачи. </w:t>
      </w:r>
      <w:proofErr w:type="gramEnd"/>
    </w:p>
    <w:p w:rsidR="00916758" w:rsidRPr="00294706" w:rsidRDefault="00916758" w:rsidP="00916758">
      <w:pPr>
        <w:spacing w:after="0" w:line="240" w:lineRule="auto"/>
        <w:ind w:left="360" w:firstLine="709"/>
        <w:jc w:val="both"/>
        <w:rPr>
          <w:rFonts w:ascii="Times New Roman" w:hAnsi="Times New Roman" w:cs="Times New Roman"/>
          <w:color w:val="FF0000"/>
          <w:sz w:val="24"/>
          <w:szCs w:val="24"/>
        </w:rPr>
      </w:pPr>
      <w:r w:rsidRPr="00294706">
        <w:rPr>
          <w:rFonts w:ascii="Times New Roman" w:hAnsi="Times New Roman" w:cs="Times New Roman"/>
          <w:b/>
          <w:sz w:val="24"/>
          <w:szCs w:val="24"/>
        </w:rPr>
        <w:t>8Анализ внеклассной работы по предметам</w:t>
      </w:r>
      <w:r w:rsidRPr="00294706">
        <w:rPr>
          <w:rFonts w:ascii="Times New Roman" w:hAnsi="Times New Roman" w:cs="Times New Roman"/>
          <w:sz w:val="24"/>
          <w:szCs w:val="24"/>
        </w:rPr>
        <w:t>.</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lastRenderedPageBreak/>
        <w:t xml:space="preserve"> 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и муниципальные олимпиады по предметам гуманитарного цикла. </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b/>
          <w:sz w:val="24"/>
          <w:szCs w:val="24"/>
        </w:rPr>
        <w:t>Общие выводы</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Анализ итогов работы показал, что поставленные задачи в основном выполнены. Но в работе МО гуманитарного цикла существуют недостатки. Так выявлено, что не все учителя готовы пока к внедрению новых технологий, созданию индивидуальных образовательных маршрутов нуждающихся в помощи учителя школьников; не налажена система работы со способными и слабоуспевающими детьми. Анализируя работу МО школы, хотелось бы дать следующие рекомендации по работе в следующем учебном году: </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конкретно планировать работу по изучению, освоению и внедрению в практику передового опыта;</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 - планировать проектную и исследовательскую деятельность индивидуально или совместно с учащимися; </w:t>
      </w:r>
    </w:p>
    <w:p w:rsidR="00916758"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уделять особое внимание внеклассной работе по предмету;</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 - анализировать и обобщать опыт педагогов района в виде статей и рецензий на методические разработки, полученные от учреждений науки и культуры посредством сетевого взаимодействия;</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 - участвовать в подготовке и проведении семинаров на район с целью обмена опытом; </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осуществлять мониторинг, практикуя рейтинговые опросы педагогов и учащихся об уровне проведения различных мероприятий.</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 Показателями успешной работы членов МО гуманитарного цикла можно считать: Увеличение числа учащихся – участников олимпиад. Сохранение положительной мотивации учащихся. Системный подход к анализу и планированию своей деятельности. Использование различных видов проверочных работ на уроках как средство ликвидации пробелов учащихся. Методические умения педагогов по применению инновационных технологий. Среди членов МО систематически проводится работа по повышению квалификации педагогов. Активно ведется работа над темами самообразования. Члены МО понимают значимость методической работы, принимают активное участие в жизни школы. 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 Работу учителей в 2017-2018 и 2018-2019  учебных годах признать удовлетворительной. Есть проблемы, над которыми предстоит работать членам МО в следующем году: Организация работы с «сильными учениками»; </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Продолжить процесс самообразования; </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Активное использование инновационных технологий; </w:t>
      </w:r>
    </w:p>
    <w:p w:rsidR="00916758" w:rsidRPr="00294706"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 xml:space="preserve">Пополнение методической «копилки»; </w:t>
      </w:r>
    </w:p>
    <w:p w:rsidR="00916758" w:rsidRDefault="00916758" w:rsidP="00916758">
      <w:pPr>
        <w:spacing w:after="0" w:line="240" w:lineRule="auto"/>
        <w:ind w:left="360" w:firstLine="709"/>
        <w:jc w:val="both"/>
        <w:rPr>
          <w:rFonts w:ascii="Times New Roman" w:hAnsi="Times New Roman" w:cs="Times New Roman"/>
          <w:sz w:val="24"/>
          <w:szCs w:val="24"/>
        </w:rPr>
      </w:pPr>
      <w:r w:rsidRPr="00294706">
        <w:rPr>
          <w:rFonts w:ascii="Times New Roman" w:hAnsi="Times New Roman" w:cs="Times New Roman"/>
          <w:sz w:val="24"/>
          <w:szCs w:val="24"/>
        </w:rPr>
        <w:t>Повышение качества знаний обучающихся</w:t>
      </w: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Default="00916758" w:rsidP="00916758">
      <w:pPr>
        <w:spacing w:after="0" w:line="240" w:lineRule="auto"/>
        <w:ind w:left="360" w:firstLine="709"/>
        <w:jc w:val="both"/>
        <w:rPr>
          <w:rFonts w:ascii="Times New Roman" w:hAnsi="Times New Roman" w:cs="Times New Roman"/>
          <w:sz w:val="24"/>
          <w:szCs w:val="24"/>
        </w:rPr>
      </w:pPr>
    </w:p>
    <w:p w:rsidR="00916758" w:rsidRPr="00C23D58" w:rsidRDefault="00916758" w:rsidP="00916758">
      <w:pPr>
        <w:pStyle w:val="1"/>
        <w:jc w:val="right"/>
        <w:rPr>
          <w:sz w:val="24"/>
        </w:rPr>
      </w:pPr>
      <w:r w:rsidRPr="00C23D58">
        <w:rPr>
          <w:sz w:val="24"/>
        </w:rPr>
        <w:t>Приложение №1</w:t>
      </w:r>
    </w:p>
    <w:tbl>
      <w:tblPr>
        <w:tblStyle w:val="a4"/>
        <w:tblW w:w="0" w:type="auto"/>
        <w:tblLayout w:type="fixed"/>
        <w:tblLook w:val="04A0"/>
      </w:tblPr>
      <w:tblGrid>
        <w:gridCol w:w="817"/>
        <w:gridCol w:w="1134"/>
        <w:gridCol w:w="851"/>
        <w:gridCol w:w="708"/>
        <w:gridCol w:w="426"/>
        <w:gridCol w:w="425"/>
        <w:gridCol w:w="425"/>
        <w:gridCol w:w="425"/>
        <w:gridCol w:w="709"/>
        <w:gridCol w:w="567"/>
        <w:gridCol w:w="709"/>
        <w:gridCol w:w="850"/>
        <w:gridCol w:w="788"/>
        <w:gridCol w:w="738"/>
      </w:tblGrid>
      <w:tr w:rsidR="00916758" w:rsidRPr="00C23D58" w:rsidTr="00803FC3">
        <w:trPr>
          <w:trHeight w:val="456"/>
        </w:trPr>
        <w:tc>
          <w:tcPr>
            <w:tcW w:w="817" w:type="dxa"/>
            <w:vMerge w:val="restart"/>
          </w:tcPr>
          <w:p w:rsidR="00916758" w:rsidRPr="004B3AD4" w:rsidRDefault="00916758" w:rsidP="00803FC3">
            <w:pPr>
              <w:pStyle w:val="1"/>
              <w:ind w:firstLine="0"/>
              <w:jc w:val="center"/>
              <w:rPr>
                <w:sz w:val="20"/>
                <w:szCs w:val="20"/>
              </w:rPr>
            </w:pPr>
            <w:r w:rsidRPr="004B3AD4">
              <w:rPr>
                <w:sz w:val="20"/>
                <w:szCs w:val="20"/>
              </w:rPr>
              <w:t>Год</w:t>
            </w:r>
          </w:p>
        </w:tc>
        <w:tc>
          <w:tcPr>
            <w:tcW w:w="1134" w:type="dxa"/>
            <w:vMerge w:val="restart"/>
          </w:tcPr>
          <w:p w:rsidR="00916758" w:rsidRPr="004B3AD4" w:rsidRDefault="00916758" w:rsidP="00803FC3">
            <w:pPr>
              <w:pStyle w:val="1"/>
              <w:ind w:firstLine="0"/>
              <w:jc w:val="center"/>
              <w:rPr>
                <w:sz w:val="20"/>
                <w:szCs w:val="20"/>
              </w:rPr>
            </w:pPr>
            <w:r w:rsidRPr="004B3AD4">
              <w:rPr>
                <w:sz w:val="20"/>
                <w:szCs w:val="20"/>
              </w:rPr>
              <w:t>Общее кол-во членов РМО</w:t>
            </w:r>
          </w:p>
        </w:tc>
        <w:tc>
          <w:tcPr>
            <w:tcW w:w="1559" w:type="dxa"/>
            <w:gridSpan w:val="2"/>
          </w:tcPr>
          <w:p w:rsidR="00916758" w:rsidRPr="004B3AD4" w:rsidRDefault="00916758" w:rsidP="00803FC3">
            <w:pPr>
              <w:pStyle w:val="1"/>
              <w:ind w:firstLine="0"/>
              <w:jc w:val="center"/>
              <w:rPr>
                <w:sz w:val="20"/>
                <w:szCs w:val="20"/>
              </w:rPr>
            </w:pPr>
            <w:r w:rsidRPr="004B3AD4">
              <w:rPr>
                <w:sz w:val="20"/>
                <w:szCs w:val="20"/>
              </w:rPr>
              <w:t>Образование</w:t>
            </w:r>
          </w:p>
        </w:tc>
        <w:tc>
          <w:tcPr>
            <w:tcW w:w="1701" w:type="dxa"/>
            <w:gridSpan w:val="4"/>
          </w:tcPr>
          <w:p w:rsidR="00916758" w:rsidRPr="004B3AD4" w:rsidRDefault="00916758" w:rsidP="00803FC3">
            <w:pPr>
              <w:pStyle w:val="1"/>
              <w:ind w:firstLine="0"/>
              <w:jc w:val="center"/>
              <w:rPr>
                <w:sz w:val="20"/>
                <w:szCs w:val="20"/>
              </w:rPr>
            </w:pPr>
            <w:r w:rsidRPr="004B3AD4">
              <w:rPr>
                <w:sz w:val="20"/>
                <w:szCs w:val="20"/>
              </w:rPr>
              <w:t>Педагогический стаж</w:t>
            </w:r>
          </w:p>
          <w:p w:rsidR="00916758" w:rsidRPr="004B3AD4" w:rsidRDefault="00916758" w:rsidP="00803FC3">
            <w:pPr>
              <w:pStyle w:val="1"/>
              <w:ind w:firstLine="0"/>
              <w:jc w:val="center"/>
              <w:rPr>
                <w:sz w:val="20"/>
                <w:szCs w:val="20"/>
              </w:rPr>
            </w:pPr>
            <w:r w:rsidRPr="004B3AD4">
              <w:rPr>
                <w:sz w:val="20"/>
                <w:szCs w:val="20"/>
              </w:rPr>
              <w:t>(кол-во чел.)</w:t>
            </w:r>
          </w:p>
        </w:tc>
        <w:tc>
          <w:tcPr>
            <w:tcW w:w="1985" w:type="dxa"/>
            <w:gridSpan w:val="3"/>
          </w:tcPr>
          <w:p w:rsidR="00916758" w:rsidRPr="004B3AD4" w:rsidRDefault="00916758" w:rsidP="00803FC3">
            <w:pPr>
              <w:pStyle w:val="1"/>
              <w:ind w:firstLine="0"/>
              <w:jc w:val="center"/>
              <w:rPr>
                <w:sz w:val="20"/>
                <w:szCs w:val="20"/>
              </w:rPr>
            </w:pPr>
            <w:r w:rsidRPr="004B3AD4">
              <w:rPr>
                <w:sz w:val="20"/>
                <w:szCs w:val="20"/>
              </w:rPr>
              <w:t>Возраст</w:t>
            </w:r>
          </w:p>
          <w:p w:rsidR="00916758" w:rsidRPr="004B3AD4" w:rsidRDefault="00916758" w:rsidP="00803FC3">
            <w:pPr>
              <w:pStyle w:val="1"/>
              <w:ind w:firstLine="0"/>
              <w:jc w:val="center"/>
              <w:rPr>
                <w:sz w:val="20"/>
                <w:szCs w:val="20"/>
              </w:rPr>
            </w:pPr>
            <w:r w:rsidRPr="004B3AD4">
              <w:rPr>
                <w:sz w:val="20"/>
                <w:szCs w:val="20"/>
              </w:rPr>
              <w:t>(кол-во чел.)</w:t>
            </w:r>
          </w:p>
        </w:tc>
        <w:tc>
          <w:tcPr>
            <w:tcW w:w="2376" w:type="dxa"/>
            <w:gridSpan w:val="3"/>
          </w:tcPr>
          <w:p w:rsidR="00916758" w:rsidRPr="004B3AD4" w:rsidRDefault="00916758" w:rsidP="00803FC3">
            <w:pPr>
              <w:pStyle w:val="1"/>
              <w:ind w:firstLine="0"/>
              <w:jc w:val="center"/>
              <w:rPr>
                <w:sz w:val="20"/>
                <w:szCs w:val="20"/>
              </w:rPr>
            </w:pPr>
            <w:r w:rsidRPr="004B3AD4">
              <w:rPr>
                <w:sz w:val="20"/>
                <w:szCs w:val="20"/>
              </w:rPr>
              <w:t>Действующая квалификационная категория</w:t>
            </w:r>
          </w:p>
          <w:p w:rsidR="00916758" w:rsidRPr="004B3AD4" w:rsidRDefault="00916758" w:rsidP="00803FC3">
            <w:pPr>
              <w:pStyle w:val="1"/>
              <w:ind w:firstLine="0"/>
              <w:jc w:val="center"/>
              <w:rPr>
                <w:sz w:val="20"/>
                <w:szCs w:val="20"/>
              </w:rPr>
            </w:pPr>
            <w:r w:rsidRPr="004B3AD4">
              <w:rPr>
                <w:sz w:val="20"/>
                <w:szCs w:val="20"/>
              </w:rPr>
              <w:t>(кол-во чел.)</w:t>
            </w:r>
          </w:p>
        </w:tc>
      </w:tr>
      <w:tr w:rsidR="00916758" w:rsidRPr="00C23D58" w:rsidTr="00803FC3">
        <w:trPr>
          <w:cantSplit/>
          <w:trHeight w:val="1134"/>
        </w:trPr>
        <w:tc>
          <w:tcPr>
            <w:tcW w:w="817" w:type="dxa"/>
            <w:vMerge/>
          </w:tcPr>
          <w:p w:rsidR="00916758" w:rsidRPr="004B3AD4" w:rsidRDefault="00916758" w:rsidP="00803FC3">
            <w:pPr>
              <w:pStyle w:val="1"/>
              <w:ind w:firstLine="0"/>
              <w:jc w:val="center"/>
              <w:rPr>
                <w:sz w:val="20"/>
                <w:szCs w:val="20"/>
              </w:rPr>
            </w:pPr>
          </w:p>
        </w:tc>
        <w:tc>
          <w:tcPr>
            <w:tcW w:w="1134" w:type="dxa"/>
            <w:vMerge/>
          </w:tcPr>
          <w:p w:rsidR="00916758" w:rsidRPr="004B3AD4" w:rsidRDefault="00916758" w:rsidP="00803FC3">
            <w:pPr>
              <w:pStyle w:val="1"/>
              <w:ind w:firstLine="0"/>
              <w:jc w:val="center"/>
              <w:rPr>
                <w:sz w:val="20"/>
                <w:szCs w:val="20"/>
              </w:rPr>
            </w:pPr>
          </w:p>
        </w:tc>
        <w:tc>
          <w:tcPr>
            <w:tcW w:w="851" w:type="dxa"/>
          </w:tcPr>
          <w:p w:rsidR="00916758" w:rsidRPr="004B3AD4" w:rsidRDefault="00916758" w:rsidP="00803FC3">
            <w:pPr>
              <w:pStyle w:val="1"/>
              <w:ind w:firstLine="0"/>
              <w:jc w:val="center"/>
              <w:rPr>
                <w:sz w:val="20"/>
                <w:szCs w:val="20"/>
              </w:rPr>
            </w:pPr>
            <w:proofErr w:type="spellStart"/>
            <w:r w:rsidRPr="004B3AD4">
              <w:rPr>
                <w:sz w:val="20"/>
                <w:szCs w:val="20"/>
              </w:rPr>
              <w:t>Средн</w:t>
            </w:r>
            <w:proofErr w:type="spellEnd"/>
            <w:r w:rsidRPr="004B3AD4">
              <w:rPr>
                <w:sz w:val="20"/>
                <w:szCs w:val="20"/>
              </w:rPr>
              <w:t>.</w:t>
            </w:r>
          </w:p>
          <w:p w:rsidR="00916758" w:rsidRPr="004B3AD4" w:rsidRDefault="00916758" w:rsidP="00803FC3">
            <w:pPr>
              <w:pStyle w:val="1"/>
              <w:ind w:firstLine="0"/>
              <w:jc w:val="center"/>
              <w:rPr>
                <w:sz w:val="20"/>
                <w:szCs w:val="20"/>
              </w:rPr>
            </w:pPr>
            <w:proofErr w:type="gramStart"/>
            <w:r w:rsidRPr="004B3AD4">
              <w:rPr>
                <w:sz w:val="20"/>
                <w:szCs w:val="20"/>
              </w:rPr>
              <w:t>Спец</w:t>
            </w:r>
            <w:proofErr w:type="gramEnd"/>
            <w:r w:rsidRPr="004B3AD4">
              <w:rPr>
                <w:sz w:val="20"/>
                <w:szCs w:val="20"/>
              </w:rPr>
              <w:t>.</w:t>
            </w:r>
          </w:p>
          <w:p w:rsidR="00916758" w:rsidRPr="004B3AD4" w:rsidRDefault="00916758" w:rsidP="00803FC3">
            <w:pPr>
              <w:pStyle w:val="1"/>
              <w:ind w:firstLine="0"/>
              <w:jc w:val="center"/>
              <w:rPr>
                <w:sz w:val="20"/>
                <w:szCs w:val="20"/>
              </w:rPr>
            </w:pPr>
            <w:r w:rsidRPr="004B3AD4">
              <w:rPr>
                <w:sz w:val="20"/>
                <w:szCs w:val="20"/>
              </w:rPr>
              <w:t>(кол-во чел.)</w:t>
            </w:r>
          </w:p>
        </w:tc>
        <w:tc>
          <w:tcPr>
            <w:tcW w:w="708" w:type="dxa"/>
          </w:tcPr>
          <w:p w:rsidR="00916758" w:rsidRPr="004B3AD4" w:rsidRDefault="00916758" w:rsidP="00803FC3">
            <w:pPr>
              <w:pStyle w:val="1"/>
              <w:ind w:firstLine="0"/>
              <w:jc w:val="center"/>
              <w:rPr>
                <w:sz w:val="20"/>
                <w:szCs w:val="20"/>
              </w:rPr>
            </w:pPr>
            <w:r w:rsidRPr="004B3AD4">
              <w:rPr>
                <w:sz w:val="20"/>
                <w:szCs w:val="20"/>
              </w:rPr>
              <w:t>Высшее (кол-во чел.)</w:t>
            </w:r>
          </w:p>
        </w:tc>
        <w:tc>
          <w:tcPr>
            <w:tcW w:w="426" w:type="dxa"/>
          </w:tcPr>
          <w:p w:rsidR="00916758" w:rsidRPr="004B3AD4" w:rsidRDefault="00916758" w:rsidP="00803FC3">
            <w:pPr>
              <w:pStyle w:val="1"/>
              <w:jc w:val="center"/>
              <w:rPr>
                <w:sz w:val="20"/>
                <w:szCs w:val="20"/>
              </w:rPr>
            </w:pPr>
            <w:proofErr w:type="spellStart"/>
            <w:r w:rsidRPr="004B3AD4">
              <w:rPr>
                <w:sz w:val="20"/>
                <w:szCs w:val="20"/>
              </w:rPr>
              <w:t>Ддо</w:t>
            </w:r>
            <w:proofErr w:type="spellEnd"/>
            <w:r w:rsidRPr="004B3AD4">
              <w:rPr>
                <w:sz w:val="20"/>
                <w:szCs w:val="20"/>
              </w:rPr>
              <w:t xml:space="preserve"> 3-х лет</w:t>
            </w:r>
          </w:p>
        </w:tc>
        <w:tc>
          <w:tcPr>
            <w:tcW w:w="425" w:type="dxa"/>
          </w:tcPr>
          <w:p w:rsidR="00916758" w:rsidRPr="004B3AD4" w:rsidRDefault="00916758" w:rsidP="00803FC3">
            <w:pPr>
              <w:pStyle w:val="1"/>
              <w:jc w:val="center"/>
              <w:rPr>
                <w:sz w:val="20"/>
                <w:szCs w:val="20"/>
              </w:rPr>
            </w:pPr>
            <w:proofErr w:type="spellStart"/>
            <w:r w:rsidRPr="004B3AD4">
              <w:rPr>
                <w:sz w:val="20"/>
                <w:szCs w:val="20"/>
              </w:rPr>
              <w:t>Оот</w:t>
            </w:r>
            <w:proofErr w:type="spellEnd"/>
            <w:r w:rsidRPr="004B3AD4">
              <w:rPr>
                <w:sz w:val="20"/>
                <w:szCs w:val="20"/>
              </w:rPr>
              <w:t xml:space="preserve"> 3-х до 10 лет</w:t>
            </w:r>
          </w:p>
        </w:tc>
        <w:tc>
          <w:tcPr>
            <w:tcW w:w="425" w:type="dxa"/>
          </w:tcPr>
          <w:p w:rsidR="00916758" w:rsidRPr="004B3AD4" w:rsidRDefault="00916758" w:rsidP="00803FC3">
            <w:pPr>
              <w:pStyle w:val="1"/>
              <w:jc w:val="center"/>
              <w:rPr>
                <w:sz w:val="20"/>
                <w:szCs w:val="20"/>
              </w:rPr>
            </w:pPr>
            <w:r w:rsidRPr="004B3AD4">
              <w:rPr>
                <w:sz w:val="20"/>
                <w:szCs w:val="20"/>
              </w:rPr>
              <w:pgNum/>
            </w:r>
            <w:r w:rsidRPr="004B3AD4">
              <w:rPr>
                <w:sz w:val="20"/>
                <w:szCs w:val="20"/>
              </w:rPr>
              <w:t>ОО 10-ти до 20 лет</w:t>
            </w:r>
          </w:p>
        </w:tc>
        <w:tc>
          <w:tcPr>
            <w:tcW w:w="425" w:type="dxa"/>
          </w:tcPr>
          <w:p w:rsidR="00916758" w:rsidRPr="004B3AD4" w:rsidRDefault="00916758" w:rsidP="00803FC3">
            <w:pPr>
              <w:pStyle w:val="1"/>
              <w:jc w:val="center"/>
              <w:rPr>
                <w:sz w:val="20"/>
                <w:szCs w:val="20"/>
              </w:rPr>
            </w:pPr>
            <w:proofErr w:type="spellStart"/>
            <w:r w:rsidRPr="004B3AD4">
              <w:rPr>
                <w:sz w:val="20"/>
                <w:szCs w:val="20"/>
              </w:rPr>
              <w:t>Ссвыше</w:t>
            </w:r>
            <w:proofErr w:type="spellEnd"/>
            <w:r w:rsidRPr="004B3AD4">
              <w:rPr>
                <w:sz w:val="20"/>
                <w:szCs w:val="20"/>
              </w:rPr>
              <w:t xml:space="preserve"> 20 лет</w:t>
            </w:r>
          </w:p>
        </w:tc>
        <w:tc>
          <w:tcPr>
            <w:tcW w:w="709" w:type="dxa"/>
          </w:tcPr>
          <w:p w:rsidR="00916758" w:rsidRPr="004B3AD4" w:rsidRDefault="00916758" w:rsidP="00803FC3">
            <w:pPr>
              <w:pStyle w:val="1"/>
              <w:ind w:firstLine="0"/>
              <w:jc w:val="center"/>
              <w:rPr>
                <w:sz w:val="20"/>
                <w:szCs w:val="20"/>
              </w:rPr>
            </w:pPr>
            <w:r w:rsidRPr="004B3AD4">
              <w:rPr>
                <w:sz w:val="20"/>
                <w:szCs w:val="20"/>
              </w:rPr>
              <w:t>до 35 лет</w:t>
            </w:r>
          </w:p>
        </w:tc>
        <w:tc>
          <w:tcPr>
            <w:tcW w:w="567" w:type="dxa"/>
          </w:tcPr>
          <w:p w:rsidR="00916758" w:rsidRPr="004B3AD4" w:rsidRDefault="00916758" w:rsidP="00803FC3">
            <w:pPr>
              <w:pStyle w:val="1"/>
              <w:ind w:firstLine="0"/>
              <w:jc w:val="center"/>
              <w:rPr>
                <w:sz w:val="20"/>
                <w:szCs w:val="20"/>
              </w:rPr>
            </w:pPr>
            <w:r w:rsidRPr="004B3AD4">
              <w:rPr>
                <w:sz w:val="20"/>
                <w:szCs w:val="20"/>
              </w:rPr>
              <w:t>от 35 до 55 лет</w:t>
            </w:r>
          </w:p>
        </w:tc>
        <w:tc>
          <w:tcPr>
            <w:tcW w:w="709" w:type="dxa"/>
          </w:tcPr>
          <w:p w:rsidR="00916758" w:rsidRPr="004B3AD4" w:rsidRDefault="00916758" w:rsidP="00803FC3">
            <w:pPr>
              <w:pStyle w:val="1"/>
              <w:ind w:firstLine="0"/>
              <w:jc w:val="center"/>
              <w:rPr>
                <w:sz w:val="20"/>
                <w:szCs w:val="20"/>
              </w:rPr>
            </w:pPr>
            <w:r w:rsidRPr="004B3AD4">
              <w:rPr>
                <w:sz w:val="20"/>
                <w:szCs w:val="20"/>
              </w:rPr>
              <w:t>старше 55 лет</w:t>
            </w:r>
          </w:p>
        </w:tc>
        <w:tc>
          <w:tcPr>
            <w:tcW w:w="850" w:type="dxa"/>
          </w:tcPr>
          <w:p w:rsidR="00916758" w:rsidRPr="004B3AD4" w:rsidRDefault="00916758" w:rsidP="00803FC3">
            <w:pPr>
              <w:pStyle w:val="1"/>
              <w:ind w:firstLine="0"/>
              <w:jc w:val="center"/>
              <w:rPr>
                <w:sz w:val="20"/>
                <w:szCs w:val="20"/>
              </w:rPr>
            </w:pPr>
            <w:r w:rsidRPr="004B3AD4">
              <w:rPr>
                <w:sz w:val="20"/>
                <w:szCs w:val="20"/>
              </w:rPr>
              <w:t>соответствие</w:t>
            </w:r>
          </w:p>
        </w:tc>
        <w:tc>
          <w:tcPr>
            <w:tcW w:w="788" w:type="dxa"/>
          </w:tcPr>
          <w:p w:rsidR="00916758" w:rsidRPr="004B3AD4" w:rsidRDefault="00916758" w:rsidP="00803FC3">
            <w:pPr>
              <w:pStyle w:val="1"/>
              <w:ind w:firstLine="0"/>
              <w:jc w:val="center"/>
              <w:rPr>
                <w:sz w:val="20"/>
                <w:szCs w:val="20"/>
              </w:rPr>
            </w:pPr>
            <w:r w:rsidRPr="004B3AD4">
              <w:rPr>
                <w:sz w:val="20"/>
                <w:szCs w:val="20"/>
              </w:rPr>
              <w:t>первая</w:t>
            </w:r>
          </w:p>
        </w:tc>
        <w:tc>
          <w:tcPr>
            <w:tcW w:w="738" w:type="dxa"/>
          </w:tcPr>
          <w:p w:rsidR="00916758" w:rsidRPr="004B3AD4" w:rsidRDefault="00916758" w:rsidP="00803FC3">
            <w:pPr>
              <w:pStyle w:val="1"/>
              <w:ind w:firstLine="0"/>
              <w:jc w:val="center"/>
              <w:rPr>
                <w:sz w:val="20"/>
                <w:szCs w:val="20"/>
              </w:rPr>
            </w:pPr>
            <w:r w:rsidRPr="004B3AD4">
              <w:rPr>
                <w:sz w:val="20"/>
                <w:szCs w:val="20"/>
              </w:rPr>
              <w:t>высшая</w:t>
            </w:r>
          </w:p>
        </w:tc>
      </w:tr>
      <w:tr w:rsidR="00916758" w:rsidRPr="00C23D58" w:rsidTr="00803FC3">
        <w:tc>
          <w:tcPr>
            <w:tcW w:w="817" w:type="dxa"/>
          </w:tcPr>
          <w:p w:rsidR="00916758" w:rsidRPr="00C23D58" w:rsidRDefault="00916758" w:rsidP="00803FC3">
            <w:pPr>
              <w:pStyle w:val="1"/>
              <w:ind w:firstLine="0"/>
              <w:jc w:val="center"/>
              <w:rPr>
                <w:sz w:val="24"/>
              </w:rPr>
            </w:pPr>
            <w:r w:rsidRPr="00C23D58">
              <w:rPr>
                <w:sz w:val="24"/>
              </w:rPr>
              <w:t>2017-2018уч.г.</w:t>
            </w:r>
          </w:p>
        </w:tc>
        <w:tc>
          <w:tcPr>
            <w:tcW w:w="1134" w:type="dxa"/>
          </w:tcPr>
          <w:p w:rsidR="00916758" w:rsidRPr="00C23D58" w:rsidRDefault="00916758" w:rsidP="00803FC3">
            <w:pPr>
              <w:pStyle w:val="1"/>
              <w:ind w:firstLine="0"/>
              <w:jc w:val="center"/>
              <w:rPr>
                <w:sz w:val="24"/>
              </w:rPr>
            </w:pPr>
            <w:r>
              <w:rPr>
                <w:sz w:val="24"/>
              </w:rPr>
              <w:t>16</w:t>
            </w:r>
          </w:p>
        </w:tc>
        <w:tc>
          <w:tcPr>
            <w:tcW w:w="851" w:type="dxa"/>
          </w:tcPr>
          <w:p w:rsidR="00916758" w:rsidRPr="00C23D58" w:rsidRDefault="00916758" w:rsidP="00803FC3">
            <w:pPr>
              <w:pStyle w:val="1"/>
              <w:ind w:firstLine="0"/>
              <w:jc w:val="center"/>
              <w:rPr>
                <w:sz w:val="24"/>
              </w:rPr>
            </w:pPr>
            <w:r>
              <w:rPr>
                <w:sz w:val="24"/>
              </w:rPr>
              <w:t>1</w:t>
            </w:r>
          </w:p>
        </w:tc>
        <w:tc>
          <w:tcPr>
            <w:tcW w:w="708" w:type="dxa"/>
          </w:tcPr>
          <w:p w:rsidR="00916758" w:rsidRPr="00C23D58" w:rsidRDefault="00916758" w:rsidP="00803FC3">
            <w:pPr>
              <w:pStyle w:val="1"/>
              <w:ind w:firstLine="0"/>
              <w:jc w:val="center"/>
              <w:rPr>
                <w:sz w:val="24"/>
              </w:rPr>
            </w:pPr>
            <w:r>
              <w:rPr>
                <w:sz w:val="24"/>
              </w:rPr>
              <w:t>15</w:t>
            </w:r>
          </w:p>
        </w:tc>
        <w:tc>
          <w:tcPr>
            <w:tcW w:w="426" w:type="dxa"/>
          </w:tcPr>
          <w:p w:rsidR="00916758" w:rsidRPr="00C23D58" w:rsidRDefault="00916758" w:rsidP="00803FC3">
            <w:pPr>
              <w:pStyle w:val="1"/>
              <w:ind w:firstLine="0"/>
              <w:jc w:val="center"/>
              <w:rPr>
                <w:sz w:val="24"/>
              </w:rPr>
            </w:pPr>
            <w:r>
              <w:rPr>
                <w:sz w:val="24"/>
              </w:rPr>
              <w:t>1</w:t>
            </w:r>
          </w:p>
        </w:tc>
        <w:tc>
          <w:tcPr>
            <w:tcW w:w="425" w:type="dxa"/>
          </w:tcPr>
          <w:p w:rsidR="00916758" w:rsidRPr="00C23D58" w:rsidRDefault="00916758" w:rsidP="00803FC3">
            <w:pPr>
              <w:pStyle w:val="1"/>
              <w:ind w:firstLine="0"/>
              <w:jc w:val="center"/>
              <w:rPr>
                <w:sz w:val="24"/>
              </w:rPr>
            </w:pPr>
            <w:r>
              <w:rPr>
                <w:sz w:val="24"/>
              </w:rPr>
              <w:t>3</w:t>
            </w:r>
          </w:p>
        </w:tc>
        <w:tc>
          <w:tcPr>
            <w:tcW w:w="425" w:type="dxa"/>
          </w:tcPr>
          <w:p w:rsidR="00916758" w:rsidRPr="00C23D58" w:rsidRDefault="00916758" w:rsidP="00803FC3">
            <w:pPr>
              <w:pStyle w:val="1"/>
              <w:ind w:firstLine="0"/>
              <w:jc w:val="center"/>
              <w:rPr>
                <w:sz w:val="24"/>
              </w:rPr>
            </w:pPr>
            <w:r>
              <w:rPr>
                <w:sz w:val="24"/>
              </w:rPr>
              <w:t>1</w:t>
            </w:r>
          </w:p>
        </w:tc>
        <w:tc>
          <w:tcPr>
            <w:tcW w:w="425" w:type="dxa"/>
          </w:tcPr>
          <w:p w:rsidR="00916758" w:rsidRPr="00C23D58" w:rsidRDefault="00916758" w:rsidP="00803FC3">
            <w:pPr>
              <w:pStyle w:val="1"/>
              <w:ind w:firstLine="0"/>
              <w:jc w:val="center"/>
              <w:rPr>
                <w:sz w:val="24"/>
              </w:rPr>
            </w:pPr>
            <w:r>
              <w:rPr>
                <w:sz w:val="24"/>
              </w:rPr>
              <w:t>11</w:t>
            </w:r>
          </w:p>
        </w:tc>
        <w:tc>
          <w:tcPr>
            <w:tcW w:w="709" w:type="dxa"/>
          </w:tcPr>
          <w:p w:rsidR="00916758" w:rsidRPr="00C23D58" w:rsidRDefault="00916758" w:rsidP="00803FC3">
            <w:pPr>
              <w:pStyle w:val="1"/>
              <w:ind w:firstLine="0"/>
              <w:jc w:val="center"/>
              <w:rPr>
                <w:sz w:val="24"/>
              </w:rPr>
            </w:pPr>
            <w:r>
              <w:rPr>
                <w:sz w:val="24"/>
              </w:rPr>
              <w:t>1</w:t>
            </w:r>
          </w:p>
        </w:tc>
        <w:tc>
          <w:tcPr>
            <w:tcW w:w="567" w:type="dxa"/>
          </w:tcPr>
          <w:p w:rsidR="00916758" w:rsidRPr="00C23D58" w:rsidRDefault="00916758" w:rsidP="00803FC3">
            <w:pPr>
              <w:pStyle w:val="1"/>
              <w:ind w:firstLine="0"/>
              <w:jc w:val="center"/>
              <w:rPr>
                <w:sz w:val="24"/>
              </w:rPr>
            </w:pPr>
            <w:r>
              <w:rPr>
                <w:sz w:val="24"/>
              </w:rPr>
              <w:t>10</w:t>
            </w:r>
          </w:p>
        </w:tc>
        <w:tc>
          <w:tcPr>
            <w:tcW w:w="709" w:type="dxa"/>
          </w:tcPr>
          <w:p w:rsidR="00916758" w:rsidRPr="00C23D58" w:rsidRDefault="00916758" w:rsidP="00803FC3">
            <w:pPr>
              <w:pStyle w:val="1"/>
              <w:ind w:firstLine="0"/>
              <w:jc w:val="center"/>
              <w:rPr>
                <w:sz w:val="24"/>
              </w:rPr>
            </w:pPr>
            <w:r>
              <w:rPr>
                <w:sz w:val="24"/>
              </w:rPr>
              <w:t>5</w:t>
            </w:r>
          </w:p>
        </w:tc>
        <w:tc>
          <w:tcPr>
            <w:tcW w:w="850" w:type="dxa"/>
          </w:tcPr>
          <w:p w:rsidR="00916758" w:rsidRPr="00C23D58" w:rsidRDefault="00916758" w:rsidP="00803FC3">
            <w:pPr>
              <w:pStyle w:val="1"/>
              <w:ind w:firstLine="0"/>
              <w:jc w:val="center"/>
              <w:rPr>
                <w:sz w:val="24"/>
              </w:rPr>
            </w:pPr>
            <w:r>
              <w:rPr>
                <w:sz w:val="24"/>
              </w:rPr>
              <w:t>1</w:t>
            </w:r>
          </w:p>
        </w:tc>
        <w:tc>
          <w:tcPr>
            <w:tcW w:w="788" w:type="dxa"/>
          </w:tcPr>
          <w:p w:rsidR="00916758" w:rsidRPr="00C23D58" w:rsidRDefault="00916758" w:rsidP="00803FC3">
            <w:pPr>
              <w:pStyle w:val="1"/>
              <w:ind w:firstLine="0"/>
              <w:jc w:val="center"/>
              <w:rPr>
                <w:sz w:val="24"/>
              </w:rPr>
            </w:pPr>
            <w:r>
              <w:rPr>
                <w:sz w:val="24"/>
              </w:rPr>
              <w:t>2</w:t>
            </w:r>
          </w:p>
        </w:tc>
        <w:tc>
          <w:tcPr>
            <w:tcW w:w="738" w:type="dxa"/>
          </w:tcPr>
          <w:p w:rsidR="00916758" w:rsidRPr="00C23D58" w:rsidRDefault="00916758" w:rsidP="00803FC3">
            <w:pPr>
              <w:pStyle w:val="1"/>
              <w:ind w:firstLine="0"/>
              <w:jc w:val="center"/>
              <w:rPr>
                <w:sz w:val="24"/>
              </w:rPr>
            </w:pPr>
            <w:r>
              <w:rPr>
                <w:sz w:val="24"/>
              </w:rPr>
              <w:t>13</w:t>
            </w:r>
          </w:p>
        </w:tc>
      </w:tr>
      <w:tr w:rsidR="00916758" w:rsidRPr="00C23D58" w:rsidTr="00803FC3">
        <w:tc>
          <w:tcPr>
            <w:tcW w:w="817" w:type="dxa"/>
          </w:tcPr>
          <w:p w:rsidR="00916758" w:rsidRPr="00C23D58" w:rsidRDefault="00916758" w:rsidP="00803FC3">
            <w:pPr>
              <w:pStyle w:val="1"/>
              <w:ind w:firstLine="0"/>
              <w:jc w:val="center"/>
              <w:rPr>
                <w:sz w:val="24"/>
              </w:rPr>
            </w:pPr>
            <w:r w:rsidRPr="00C23D58">
              <w:rPr>
                <w:sz w:val="24"/>
              </w:rPr>
              <w:t>2018-2019уч.г.</w:t>
            </w:r>
          </w:p>
        </w:tc>
        <w:tc>
          <w:tcPr>
            <w:tcW w:w="1134" w:type="dxa"/>
          </w:tcPr>
          <w:p w:rsidR="00916758" w:rsidRPr="00C23D58" w:rsidRDefault="00916758" w:rsidP="00803FC3">
            <w:pPr>
              <w:pStyle w:val="1"/>
              <w:ind w:firstLine="0"/>
              <w:jc w:val="center"/>
              <w:rPr>
                <w:sz w:val="24"/>
              </w:rPr>
            </w:pPr>
            <w:r>
              <w:rPr>
                <w:sz w:val="24"/>
              </w:rPr>
              <w:t>16</w:t>
            </w:r>
          </w:p>
        </w:tc>
        <w:tc>
          <w:tcPr>
            <w:tcW w:w="851" w:type="dxa"/>
          </w:tcPr>
          <w:p w:rsidR="00916758" w:rsidRPr="00C23D58" w:rsidRDefault="00916758" w:rsidP="00803FC3">
            <w:pPr>
              <w:pStyle w:val="1"/>
              <w:ind w:firstLine="0"/>
              <w:jc w:val="center"/>
              <w:rPr>
                <w:sz w:val="24"/>
              </w:rPr>
            </w:pPr>
            <w:r>
              <w:rPr>
                <w:sz w:val="24"/>
              </w:rPr>
              <w:t>1</w:t>
            </w:r>
          </w:p>
        </w:tc>
        <w:tc>
          <w:tcPr>
            <w:tcW w:w="708" w:type="dxa"/>
          </w:tcPr>
          <w:p w:rsidR="00916758" w:rsidRPr="00C23D58" w:rsidRDefault="00916758" w:rsidP="00803FC3">
            <w:pPr>
              <w:pStyle w:val="1"/>
              <w:ind w:firstLine="0"/>
              <w:jc w:val="center"/>
              <w:rPr>
                <w:sz w:val="24"/>
              </w:rPr>
            </w:pPr>
            <w:r>
              <w:rPr>
                <w:sz w:val="24"/>
              </w:rPr>
              <w:t>15</w:t>
            </w:r>
          </w:p>
        </w:tc>
        <w:tc>
          <w:tcPr>
            <w:tcW w:w="426" w:type="dxa"/>
          </w:tcPr>
          <w:p w:rsidR="00916758" w:rsidRPr="00C23D58" w:rsidRDefault="00916758" w:rsidP="00803FC3">
            <w:pPr>
              <w:pStyle w:val="1"/>
              <w:ind w:firstLine="0"/>
              <w:jc w:val="center"/>
              <w:rPr>
                <w:sz w:val="24"/>
              </w:rPr>
            </w:pPr>
            <w:r>
              <w:rPr>
                <w:sz w:val="24"/>
              </w:rPr>
              <w:t>1</w:t>
            </w:r>
          </w:p>
        </w:tc>
        <w:tc>
          <w:tcPr>
            <w:tcW w:w="425" w:type="dxa"/>
          </w:tcPr>
          <w:p w:rsidR="00916758" w:rsidRPr="00C23D58" w:rsidRDefault="00916758" w:rsidP="00803FC3">
            <w:pPr>
              <w:pStyle w:val="1"/>
              <w:ind w:firstLine="0"/>
              <w:jc w:val="center"/>
              <w:rPr>
                <w:sz w:val="24"/>
              </w:rPr>
            </w:pPr>
            <w:r>
              <w:rPr>
                <w:sz w:val="24"/>
              </w:rPr>
              <w:t>3</w:t>
            </w:r>
          </w:p>
        </w:tc>
        <w:tc>
          <w:tcPr>
            <w:tcW w:w="425" w:type="dxa"/>
          </w:tcPr>
          <w:p w:rsidR="00916758" w:rsidRPr="00C23D58" w:rsidRDefault="00916758" w:rsidP="00803FC3">
            <w:pPr>
              <w:pStyle w:val="1"/>
              <w:ind w:firstLine="0"/>
              <w:jc w:val="center"/>
              <w:rPr>
                <w:sz w:val="24"/>
              </w:rPr>
            </w:pPr>
            <w:r>
              <w:rPr>
                <w:sz w:val="24"/>
              </w:rPr>
              <w:t>1</w:t>
            </w:r>
          </w:p>
        </w:tc>
        <w:tc>
          <w:tcPr>
            <w:tcW w:w="425" w:type="dxa"/>
          </w:tcPr>
          <w:p w:rsidR="00916758" w:rsidRPr="00C23D58" w:rsidRDefault="00916758" w:rsidP="00803FC3">
            <w:pPr>
              <w:pStyle w:val="1"/>
              <w:ind w:firstLine="0"/>
              <w:jc w:val="center"/>
              <w:rPr>
                <w:sz w:val="24"/>
              </w:rPr>
            </w:pPr>
            <w:r>
              <w:rPr>
                <w:sz w:val="24"/>
              </w:rPr>
              <w:t>11</w:t>
            </w:r>
          </w:p>
        </w:tc>
        <w:tc>
          <w:tcPr>
            <w:tcW w:w="709" w:type="dxa"/>
          </w:tcPr>
          <w:p w:rsidR="00916758" w:rsidRPr="00C23D58" w:rsidRDefault="00916758" w:rsidP="00803FC3">
            <w:pPr>
              <w:pStyle w:val="1"/>
              <w:ind w:firstLine="0"/>
              <w:jc w:val="center"/>
              <w:rPr>
                <w:sz w:val="24"/>
              </w:rPr>
            </w:pPr>
            <w:r>
              <w:rPr>
                <w:sz w:val="24"/>
              </w:rPr>
              <w:t>1</w:t>
            </w:r>
          </w:p>
        </w:tc>
        <w:tc>
          <w:tcPr>
            <w:tcW w:w="567" w:type="dxa"/>
          </w:tcPr>
          <w:p w:rsidR="00916758" w:rsidRPr="00C23D58" w:rsidRDefault="00916758" w:rsidP="00803FC3">
            <w:pPr>
              <w:pStyle w:val="1"/>
              <w:ind w:firstLine="0"/>
              <w:jc w:val="center"/>
              <w:rPr>
                <w:sz w:val="24"/>
              </w:rPr>
            </w:pPr>
            <w:r>
              <w:rPr>
                <w:sz w:val="24"/>
              </w:rPr>
              <w:t>10</w:t>
            </w:r>
          </w:p>
        </w:tc>
        <w:tc>
          <w:tcPr>
            <w:tcW w:w="709" w:type="dxa"/>
          </w:tcPr>
          <w:p w:rsidR="00916758" w:rsidRPr="00C23D58" w:rsidRDefault="00916758" w:rsidP="00803FC3">
            <w:pPr>
              <w:pStyle w:val="1"/>
              <w:ind w:firstLine="0"/>
              <w:jc w:val="center"/>
              <w:rPr>
                <w:sz w:val="24"/>
              </w:rPr>
            </w:pPr>
            <w:r>
              <w:rPr>
                <w:sz w:val="24"/>
              </w:rPr>
              <w:t>5</w:t>
            </w:r>
          </w:p>
        </w:tc>
        <w:tc>
          <w:tcPr>
            <w:tcW w:w="850" w:type="dxa"/>
          </w:tcPr>
          <w:p w:rsidR="00916758" w:rsidRPr="00C23D58" w:rsidRDefault="00916758" w:rsidP="00803FC3">
            <w:pPr>
              <w:pStyle w:val="1"/>
              <w:ind w:firstLine="0"/>
              <w:jc w:val="center"/>
              <w:rPr>
                <w:sz w:val="24"/>
              </w:rPr>
            </w:pPr>
            <w:r>
              <w:rPr>
                <w:sz w:val="24"/>
              </w:rPr>
              <w:t>1</w:t>
            </w:r>
          </w:p>
        </w:tc>
        <w:tc>
          <w:tcPr>
            <w:tcW w:w="788" w:type="dxa"/>
          </w:tcPr>
          <w:p w:rsidR="00916758" w:rsidRPr="00C23D58" w:rsidRDefault="00916758" w:rsidP="00803FC3">
            <w:pPr>
              <w:pStyle w:val="1"/>
              <w:ind w:firstLine="0"/>
              <w:jc w:val="center"/>
              <w:rPr>
                <w:sz w:val="24"/>
              </w:rPr>
            </w:pPr>
            <w:r>
              <w:rPr>
                <w:sz w:val="24"/>
              </w:rPr>
              <w:t>2</w:t>
            </w:r>
          </w:p>
        </w:tc>
        <w:tc>
          <w:tcPr>
            <w:tcW w:w="738" w:type="dxa"/>
          </w:tcPr>
          <w:p w:rsidR="00916758" w:rsidRPr="00C23D58" w:rsidRDefault="00916758" w:rsidP="00803FC3">
            <w:pPr>
              <w:pStyle w:val="1"/>
              <w:ind w:firstLine="0"/>
              <w:jc w:val="center"/>
              <w:rPr>
                <w:sz w:val="24"/>
              </w:rPr>
            </w:pPr>
            <w:r>
              <w:rPr>
                <w:sz w:val="24"/>
              </w:rPr>
              <w:t>13</w:t>
            </w:r>
          </w:p>
        </w:tc>
      </w:tr>
    </w:tbl>
    <w:p w:rsidR="00916758" w:rsidRPr="00294706" w:rsidRDefault="00916758" w:rsidP="00916758">
      <w:pPr>
        <w:pStyle w:val="1"/>
        <w:jc w:val="right"/>
        <w:rPr>
          <w:sz w:val="24"/>
        </w:rPr>
      </w:pPr>
    </w:p>
    <w:p w:rsidR="00D81F61" w:rsidRDefault="00D81F61"/>
    <w:p w:rsidR="00916758" w:rsidRDefault="00916758"/>
    <w:p w:rsidR="00916758" w:rsidRDefault="00916758"/>
    <w:p w:rsidR="00916758" w:rsidRDefault="00916758">
      <w:r>
        <w:t>Руководитель РМО учителей русского языка и литературы                                                 Г.В.Лукошкина</w:t>
      </w:r>
    </w:p>
    <w:sectPr w:rsidR="00916758" w:rsidSect="00294706">
      <w:pgSz w:w="11906" w:h="16838"/>
      <w:pgMar w:top="567"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3743E"/>
    <w:multiLevelType w:val="hybridMultilevel"/>
    <w:tmpl w:val="1C58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758"/>
    <w:rsid w:val="00916758"/>
    <w:rsid w:val="00D81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758"/>
    <w:pPr>
      <w:ind w:left="720"/>
      <w:contextualSpacing/>
    </w:pPr>
  </w:style>
  <w:style w:type="table" w:styleId="a4">
    <w:name w:val="Table Grid"/>
    <w:basedOn w:val="a1"/>
    <w:rsid w:val="009167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qFormat/>
    <w:rsid w:val="00916758"/>
    <w:pPr>
      <w:spacing w:after="0" w:line="240" w:lineRule="auto"/>
      <w:ind w:firstLine="709"/>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8692</Characters>
  <Application>Microsoft Office Word</Application>
  <DocSecurity>0</DocSecurity>
  <Lines>72</Lines>
  <Paragraphs>20</Paragraphs>
  <ScaleCrop>false</ScaleCrop>
  <Company>Reanimator Extreme Edition</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АВК</dc:creator>
  <cp:lastModifiedBy>АВК</cp:lastModifiedBy>
  <cp:revision>1</cp:revision>
  <dcterms:created xsi:type="dcterms:W3CDTF">2020-05-27T13:06:00Z</dcterms:created>
  <dcterms:modified xsi:type="dcterms:W3CDTF">2020-05-27T13:07:00Z</dcterms:modified>
</cp:coreProperties>
</file>